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0ACF" w14:textId="6F2B4F43" w:rsidR="00D810BD" w:rsidRDefault="00643B79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602B62" wp14:editId="6B03235F">
            <wp:simplePos x="0" y="0"/>
            <wp:positionH relativeFrom="margin">
              <wp:posOffset>3326130</wp:posOffset>
            </wp:positionH>
            <wp:positionV relativeFrom="margin">
              <wp:posOffset>-652780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5A14" w14:textId="6EB32E46" w:rsidR="00D810BD" w:rsidRPr="00092079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8E1D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1105B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8E1D37">
        <w:rPr>
          <w:rFonts w:ascii="Arial" w:eastAsia="Times New Roman" w:hAnsi="Arial" w:cs="Arial"/>
          <w:sz w:val="24"/>
          <w:szCs w:val="24"/>
          <w:lang w:eastAsia="es-ES"/>
        </w:rPr>
        <w:t xml:space="preserve"> de julio de 2024</w:t>
      </w:r>
    </w:p>
    <w:p w14:paraId="5F62718D" w14:textId="77777777" w:rsidR="00D810BD" w:rsidRDefault="00D810BD" w:rsidP="00D810B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EAB2894" w14:textId="72FEFFE3" w:rsidR="00D810BD" w:rsidRPr="008E3145" w:rsidRDefault="002E11D7" w:rsidP="00D810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8E314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Mediaset España, único </w:t>
      </w:r>
      <w:r w:rsidR="0058611B" w:rsidRPr="008E314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representante</w:t>
      </w:r>
      <w:r w:rsidRPr="008E314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español presente </w:t>
      </w:r>
      <w:r w:rsidR="0058611B" w:rsidRPr="008E314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a través de Mitele </w:t>
      </w:r>
      <w:r w:rsidRPr="008E314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en el ranking The Best Of The Open Internet</w:t>
      </w:r>
    </w:p>
    <w:p w14:paraId="0616DB03" w14:textId="77777777" w:rsidR="002B4353" w:rsidRPr="002249A0" w:rsidRDefault="002B4353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B50A2D" w14:textId="66BB65D0" w:rsidR="00C477DE" w:rsidRDefault="001A69C7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p</w:t>
      </w:r>
      <w:r w:rsidR="00006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lataforma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contenidos del grupo audiovisual ha sido </w:t>
      </w:r>
      <w:r w:rsidR="00523391">
        <w:rPr>
          <w:rFonts w:ascii="Arial" w:eastAsia="Times New Roman" w:hAnsi="Arial" w:cs="Arial"/>
          <w:b/>
          <w:sz w:val="24"/>
          <w:szCs w:val="24"/>
          <w:lang w:eastAsia="es-ES"/>
        </w:rPr>
        <w:t>distinguid</w:t>
      </w:r>
      <w:r w:rsidR="0000655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233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los </w:t>
      </w:r>
      <w:r w:rsidR="000F5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100 principales editores publicitarios de todo el mundo </w:t>
      </w:r>
      <w:r w:rsidR="00006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</w:t>
      </w:r>
      <w:r w:rsidR="00A37C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diversos criterios, entre ellos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alcance, </w:t>
      </w:r>
      <w:r w:rsidR="00006552">
        <w:rPr>
          <w:rFonts w:ascii="Arial" w:eastAsia="Times New Roman" w:hAnsi="Arial" w:cs="Arial"/>
          <w:b/>
          <w:sz w:val="24"/>
          <w:szCs w:val="24"/>
          <w:lang w:eastAsia="es-ES"/>
        </w:rPr>
        <w:t>la calidad de la publicidad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eficiencia </w:t>
      </w:r>
      <w:r w:rsidR="00166E05">
        <w:rPr>
          <w:rFonts w:ascii="Arial" w:eastAsia="Times New Roman" w:hAnsi="Arial" w:cs="Arial"/>
          <w:b/>
          <w:sz w:val="24"/>
          <w:szCs w:val="24"/>
          <w:lang w:eastAsia="es-ES"/>
        </w:rPr>
        <w:t>de su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inventario programático</w:t>
      </w:r>
      <w:r w:rsidR="00A37C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 </w:t>
      </w:r>
      <w:r w:rsidR="00166E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otros </w:t>
      </w:r>
      <w:r w:rsidR="00BB1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canales digitales </w:t>
      </w:r>
      <w:r w:rsidR="00166E05">
        <w:rPr>
          <w:rFonts w:ascii="Arial" w:eastAsia="Times New Roman" w:hAnsi="Arial" w:cs="Arial"/>
          <w:b/>
          <w:sz w:val="24"/>
          <w:szCs w:val="24"/>
          <w:lang w:eastAsia="es-ES"/>
        </w:rPr>
        <w:t>pertenecientes a grupos internacionales como Disney, NBCUniversal, Warner Bros. Discovery y Paramount Global</w:t>
      </w:r>
      <w:r w:rsidR="00030FA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37C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evaluación se ha realizado en colaboración con Sincera, empresa líder en datos de publicidad digital.</w:t>
      </w:r>
    </w:p>
    <w:p w14:paraId="32EB12EE" w14:textId="77777777" w:rsidR="00C477DE" w:rsidRDefault="00C477DE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3BCC4D" w14:textId="595D5AB5" w:rsidR="008C19BF" w:rsidRDefault="00BB1B61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informe bianual </w:t>
      </w:r>
      <w:r w:rsidR="005B3877">
        <w:rPr>
          <w:rFonts w:ascii="Arial" w:eastAsia="Times New Roman" w:hAnsi="Arial" w:cs="Arial"/>
          <w:b/>
          <w:sz w:val="24"/>
          <w:szCs w:val="24"/>
          <w:lang w:eastAsia="es-ES"/>
        </w:rPr>
        <w:t>usa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datos de la actividad publicitaria digital registrados por The Trade Desk,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plataforma </w:t>
      </w:r>
      <w:r w:rsidR="00111F41">
        <w:rPr>
          <w:rFonts w:ascii="Arial" w:eastAsia="Times New Roman" w:hAnsi="Arial" w:cs="Arial"/>
          <w:b/>
          <w:sz w:val="24"/>
          <w:szCs w:val="24"/>
          <w:lang w:eastAsia="es-ES"/>
        </w:rPr>
        <w:t>global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compra de medios que ayuda a los profesionales del marketing a llegar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clientes, con más transparencia y opciones en </w:t>
      </w:r>
      <w:r w:rsidR="00201AA0">
        <w:rPr>
          <w:rFonts w:ascii="Arial" w:eastAsia="Times New Roman" w:hAnsi="Arial" w:cs="Arial"/>
          <w:b/>
          <w:sz w:val="24"/>
          <w:szCs w:val="24"/>
          <w:lang w:eastAsia="es-ES"/>
        </w:rPr>
        <w:t>todas las fases de la comercialización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0A5C683" w14:textId="77777777" w:rsidR="00EF5D8C" w:rsidRPr="002249A0" w:rsidRDefault="00EF5D8C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A793048" w14:textId="4B1042F7" w:rsidR="00A250A6" w:rsidRDefault="00201AA0" w:rsidP="00D20C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01AA0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través de </w:t>
      </w:r>
      <w:r w:rsidRPr="00201AA0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plataforma de contenidos en directo y a la carta, es el </w:t>
      </w:r>
      <w:r w:rsidRPr="005B38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 grupo español que figura entre los 100 mejores </w:t>
      </w:r>
      <w:r w:rsidR="001E084B">
        <w:rPr>
          <w:rFonts w:ascii="Arial" w:eastAsia="Times New Roman" w:hAnsi="Arial" w:cs="Arial"/>
          <w:b/>
          <w:sz w:val="24"/>
          <w:szCs w:val="24"/>
          <w:lang w:eastAsia="es-ES"/>
        </w:rPr>
        <w:t>soportes</w:t>
      </w:r>
      <w:r w:rsidRPr="005B38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digitales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destacados en el </w:t>
      </w:r>
      <w:r w:rsidRPr="005B3877">
        <w:rPr>
          <w:rFonts w:ascii="Arial" w:eastAsia="Times New Roman" w:hAnsi="Arial" w:cs="Arial"/>
          <w:b/>
          <w:sz w:val="24"/>
          <w:szCs w:val="24"/>
          <w:lang w:eastAsia="es-ES"/>
        </w:rPr>
        <w:t>ranking The Best Of The Open Internet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incluido en el informe </w:t>
      </w:r>
      <w:hyperlink r:id="rId7" w:history="1">
        <w:r w:rsidRPr="00BA708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The Sellers and Publishers Report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877">
        <w:rPr>
          <w:rFonts w:ascii="Arial" w:eastAsia="Times New Roman" w:hAnsi="Arial" w:cs="Arial"/>
          <w:bCs/>
          <w:sz w:val="24"/>
          <w:szCs w:val="24"/>
          <w:lang w:eastAsia="es-ES"/>
        </w:rPr>
        <w:t>que elabora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plataforma </w:t>
      </w:r>
      <w:r w:rsidR="00E06A3E">
        <w:rPr>
          <w:rFonts w:ascii="Arial" w:eastAsia="Times New Roman" w:hAnsi="Arial" w:cs="Arial"/>
          <w:bCs/>
          <w:sz w:val="24"/>
          <w:szCs w:val="24"/>
          <w:lang w:eastAsia="es-ES"/>
        </w:rPr>
        <w:t>global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compra de medios </w:t>
      </w:r>
      <w:hyperlink r:id="rId8" w:history="1">
        <w:r w:rsidRPr="00BA708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The Trade Desk</w:t>
        </w:r>
      </w:hyperlink>
      <w:r w:rsidR="00547E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A629CF6" w14:textId="77777777" w:rsidR="005B3877" w:rsidRDefault="005B3877" w:rsidP="00D20C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6B4AFE" w14:textId="121CC5AF" w:rsidR="005B3877" w:rsidRDefault="005B3877" w:rsidP="00D20C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Mitele es el único representante de nuestro país en un listado en el que figuran l</w:t>
      </w:r>
      <w:r w:rsidR="001E084B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1E084B" w:rsidRPr="001E084B">
        <w:rPr>
          <w:rFonts w:ascii="Arial" w:eastAsia="Times New Roman" w:hAnsi="Arial" w:cs="Arial"/>
          <w:b/>
          <w:sz w:val="24"/>
          <w:szCs w:val="24"/>
          <w:lang w:eastAsia="es-ES"/>
        </w:rPr>
        <w:t>soportes publicitarios</w:t>
      </w:r>
      <w:r w:rsidR="001E0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06B9F">
        <w:rPr>
          <w:rFonts w:ascii="Arial" w:eastAsia="Times New Roman" w:hAnsi="Arial" w:cs="Arial"/>
          <w:b/>
          <w:sz w:val="24"/>
          <w:szCs w:val="24"/>
          <w:lang w:eastAsia="es-ES"/>
        </w:rPr>
        <w:t>y canales digitales más populares y atractivos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06B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su </w:t>
      </w:r>
      <w:r w:rsidR="00206B9F" w:rsidRPr="00206B9F">
        <w:rPr>
          <w:rFonts w:ascii="Arial" w:eastAsia="Times New Roman" w:hAnsi="Arial" w:cs="Arial"/>
          <w:b/>
          <w:sz w:val="24"/>
          <w:szCs w:val="24"/>
          <w:lang w:eastAsia="es-ES"/>
        </w:rPr>
        <w:t>alcance, la calidad de su publicidad y la eficiencia de su inventario programático</w:t>
      </w:r>
      <w:r w:rsidR="00206B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otros criterios. La plataforma del grupo audiovisual está presente </w:t>
      </w:r>
      <w:r w:rsidR="00206B9F" w:rsidRPr="00206B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</w:t>
      </w:r>
      <w:r w:rsidR="001E08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otros </w:t>
      </w:r>
      <w:r w:rsidR="00206B9F" w:rsidRPr="00206B9F">
        <w:rPr>
          <w:rFonts w:ascii="Arial" w:eastAsia="Times New Roman" w:hAnsi="Arial" w:cs="Arial"/>
          <w:b/>
          <w:sz w:val="24"/>
          <w:szCs w:val="24"/>
          <w:lang w:eastAsia="es-ES"/>
        </w:rPr>
        <w:t>soportes de grandes compañías de medios globales como Disney, NBCUniversal, Warner Bros. Discovery y Paramount Global</w:t>
      </w:r>
      <w:r w:rsidR="00206B9F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51B59E20" w14:textId="77777777" w:rsidR="00842C47" w:rsidRDefault="00842C47" w:rsidP="002249A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6683D1D" w14:textId="20668CD3" w:rsidR="000C1F7A" w:rsidRDefault="00523391" w:rsidP="005233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>The Best of the Open Internet</w:t>
      </w:r>
      <w:r w:rsidR="00BA70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tiene en cuenta todos los posibles canales digitales (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>web, TV conectada, audio digital, etc.)</w:t>
      </w:r>
      <w:r w:rsidR="00E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pone en valor </w:t>
      </w:r>
      <w:r w:rsidR="00BA70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 una serie 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>de criterios</w:t>
      </w:r>
      <w:r w:rsidR="00E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Sincera, empresa líder en datos de publicidad digital. Entre ellos, destacan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>calidad de la publicidad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(visibilidad, proporción de anuncios respecto al contenido y la tasa de actualización)</w:t>
      </w:r>
      <w:r w:rsidR="00BA708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>alcance</w:t>
      </w:r>
      <w:r w:rsidR="00BA708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>inventario programático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decidido, la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>eficiencia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BB1B61">
        <w:rPr>
          <w:rFonts w:ascii="Arial" w:eastAsia="Times New Roman" w:hAnsi="Arial" w:cs="Arial"/>
          <w:b/>
          <w:sz w:val="24"/>
          <w:szCs w:val="24"/>
          <w:lang w:eastAsia="es-ES"/>
        </w:rPr>
        <w:t>calidad de distribución</w:t>
      </w:r>
      <w:r w:rsidRPr="0052339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3442C5" w14:textId="77777777" w:rsidR="00ED17BB" w:rsidRDefault="00ED17BB" w:rsidP="005233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A535A7" w14:textId="2622A2BF" w:rsidR="009B4CE2" w:rsidRDefault="00ED17BB" w:rsidP="005233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Por su parte, The 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Sellers and Publishers Report es un </w:t>
      </w:r>
      <w:r w:rsidR="000C1F7A" w:rsidRPr="005C3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informe bianual </w:t>
      </w:r>
      <w:r w:rsidR="00842C47">
        <w:rPr>
          <w:rFonts w:ascii="Arial" w:eastAsia="Times New Roman" w:hAnsi="Arial" w:cs="Arial"/>
          <w:b/>
          <w:sz w:val="24"/>
          <w:szCs w:val="24"/>
          <w:lang w:eastAsia="es-ES"/>
        </w:rPr>
        <w:t>que utilizan los</w:t>
      </w:r>
      <w:r w:rsid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1F7A" w:rsidRPr="005C39C5">
        <w:rPr>
          <w:rFonts w:ascii="Arial" w:eastAsia="Times New Roman" w:hAnsi="Arial" w:cs="Arial"/>
          <w:b/>
          <w:sz w:val="24"/>
          <w:szCs w:val="24"/>
          <w:lang w:eastAsia="es-ES"/>
        </w:rPr>
        <w:t>datos de la actividad publicitaria digital registrados por The Trade Desk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B4CE2" w:rsidRP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plataforma </w:t>
      </w:r>
      <w:r w:rsidR="00387C2F">
        <w:rPr>
          <w:rFonts w:ascii="Arial" w:eastAsia="Times New Roman" w:hAnsi="Arial" w:cs="Arial"/>
          <w:bCs/>
          <w:sz w:val="24"/>
          <w:szCs w:val="24"/>
          <w:lang w:eastAsia="es-ES"/>
        </w:rPr>
        <w:t>global</w:t>
      </w:r>
      <w:r w:rsidR="009B4CE2" w:rsidRP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compra de medios que ayuda a los profesionales del marketing a llegar a nuevos clientes, con más transparencia y opciones en todas las fases de la comercialización</w:t>
      </w:r>
      <w:r w:rsid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The Trade Desk 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procesa hasta </w:t>
      </w:r>
      <w:r w:rsidR="000C1F7A" w:rsidRPr="005C3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 millones de </w:t>
      </w:r>
      <w:r w:rsidR="009B4C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opciones </w:t>
      </w:r>
      <w:r w:rsidR="000C1F7A" w:rsidRPr="005C39C5">
        <w:rPr>
          <w:rFonts w:ascii="Arial" w:eastAsia="Times New Roman" w:hAnsi="Arial" w:cs="Arial"/>
          <w:b/>
          <w:sz w:val="24"/>
          <w:szCs w:val="24"/>
          <w:lang w:eastAsia="es-ES"/>
        </w:rPr>
        <w:t>de impresiones publicitarias digitales por segundo</w:t>
      </w:r>
      <w:r w:rsid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incluye </w:t>
      </w:r>
      <w:r w:rsidR="000C1F7A" w:rsidRPr="00842C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transacciones publicitarias de 500 </w:t>
      </w:r>
      <w:r w:rsidR="00842C47">
        <w:rPr>
          <w:rFonts w:ascii="Arial" w:eastAsia="Times New Roman" w:hAnsi="Arial" w:cs="Arial"/>
          <w:b/>
          <w:sz w:val="24"/>
          <w:szCs w:val="24"/>
          <w:lang w:eastAsia="es-ES"/>
        </w:rPr>
        <w:t>de las principales plataformas y editores</w:t>
      </w:r>
      <w:r w:rsidR="009B4CE2" w:rsidRPr="00842C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F7A" w:rsidRPr="00842C47">
        <w:rPr>
          <w:rFonts w:ascii="Arial" w:eastAsia="Times New Roman" w:hAnsi="Arial" w:cs="Arial"/>
          <w:b/>
          <w:sz w:val="24"/>
          <w:szCs w:val="24"/>
          <w:lang w:eastAsia="es-ES"/>
        </w:rPr>
        <w:t>digitales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</w:t>
      </w:r>
      <w:r w:rsid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miles de </w:t>
      </w:r>
      <w:r w:rsidR="00387C2F" w:rsidRPr="00387C2F">
        <w:rPr>
          <w:rFonts w:ascii="Arial" w:eastAsia="Times New Roman" w:hAnsi="Arial" w:cs="Arial"/>
          <w:bCs/>
          <w:sz w:val="24"/>
          <w:szCs w:val="24"/>
          <w:lang w:eastAsia="es-ES"/>
        </w:rPr>
        <w:t>sites</w:t>
      </w:r>
      <w:r w:rsidR="000C1F7A" w:rsidRPr="00387C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premium</w:t>
      </w:r>
      <w:r w:rsidR="000C1F7A"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adicionales valorados por las principales marcas.</w:t>
      </w:r>
    </w:p>
    <w:p w14:paraId="5C22DF1B" w14:textId="77777777" w:rsidR="009B4CE2" w:rsidRDefault="009B4CE2" w:rsidP="005233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A7A47B" w14:textId="7C68412C" w:rsidR="005C39C5" w:rsidRDefault="000C1F7A" w:rsidP="0052339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500 </w:t>
      </w:r>
      <w:r w:rsidR="009B4CE2" w:rsidRPr="009B4CE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sellers and publishers</w:t>
      </w:r>
      <w:r w:rsidR="009B4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representan aproximadamente el </w:t>
      </w:r>
      <w:r w:rsidRPr="005C3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50% del gasto publicitario en </w:t>
      </w:r>
      <w:r w:rsidR="009B4CE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open internet </w:t>
      </w:r>
      <w:r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incluyen servicios de streaming, plataformas de noticias, audio y podcasts y </w:t>
      </w:r>
      <w:r w:rsidR="001E08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soportes </w:t>
      </w:r>
      <w:r w:rsidRPr="000C1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populares de entretenimiento, estilo de vida y deportes. </w:t>
      </w:r>
    </w:p>
    <w:sectPr w:rsidR="005C39C5" w:rsidSect="00BF573F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750E4" w14:textId="77777777" w:rsidR="00A64D0F" w:rsidRDefault="00A64D0F">
      <w:pPr>
        <w:spacing w:after="0" w:line="240" w:lineRule="auto"/>
      </w:pPr>
      <w:r>
        <w:separator/>
      </w:r>
    </w:p>
  </w:endnote>
  <w:endnote w:type="continuationSeparator" w:id="0">
    <w:p w14:paraId="350407A4" w14:textId="77777777" w:rsidR="00A64D0F" w:rsidRDefault="00A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3B69" w14:textId="77777777" w:rsidR="007E36C7" w:rsidRPr="00092079" w:rsidRDefault="008E55B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0B586A1" wp14:editId="2EFAC88C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80792489" name="Imagen 208079248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5EC7893" wp14:editId="3BDA97D0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12789721" name="Imagen 10127897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D158B" w14:textId="77777777" w:rsidR="00A64D0F" w:rsidRDefault="00A64D0F">
      <w:pPr>
        <w:spacing w:after="0" w:line="240" w:lineRule="auto"/>
      </w:pPr>
      <w:r>
        <w:separator/>
      </w:r>
    </w:p>
  </w:footnote>
  <w:footnote w:type="continuationSeparator" w:id="0">
    <w:p w14:paraId="63A6BABD" w14:textId="77777777" w:rsidR="00A64D0F" w:rsidRDefault="00A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7E94" w14:textId="77777777" w:rsidR="007E36C7" w:rsidRDefault="007E36C7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D"/>
    <w:rsid w:val="00006552"/>
    <w:rsid w:val="0002015F"/>
    <w:rsid w:val="000302EE"/>
    <w:rsid w:val="00030FA5"/>
    <w:rsid w:val="0004680B"/>
    <w:rsid w:val="0007524B"/>
    <w:rsid w:val="000A15A8"/>
    <w:rsid w:val="000A6FC1"/>
    <w:rsid w:val="000C1F7A"/>
    <w:rsid w:val="000D1044"/>
    <w:rsid w:val="000F14F8"/>
    <w:rsid w:val="000F5993"/>
    <w:rsid w:val="000F61EA"/>
    <w:rsid w:val="001064DC"/>
    <w:rsid w:val="00111F41"/>
    <w:rsid w:val="001129F1"/>
    <w:rsid w:val="001163B0"/>
    <w:rsid w:val="00116FAB"/>
    <w:rsid w:val="00143B9B"/>
    <w:rsid w:val="00146717"/>
    <w:rsid w:val="00161B16"/>
    <w:rsid w:val="00166E05"/>
    <w:rsid w:val="00175135"/>
    <w:rsid w:val="00191030"/>
    <w:rsid w:val="001A69C7"/>
    <w:rsid w:val="001B132E"/>
    <w:rsid w:val="001B418F"/>
    <w:rsid w:val="001D71F7"/>
    <w:rsid w:val="001E084B"/>
    <w:rsid w:val="001E2B63"/>
    <w:rsid w:val="00201AA0"/>
    <w:rsid w:val="00202179"/>
    <w:rsid w:val="00202808"/>
    <w:rsid w:val="00206B9F"/>
    <w:rsid w:val="0021105B"/>
    <w:rsid w:val="002249A0"/>
    <w:rsid w:val="00232C3F"/>
    <w:rsid w:val="00235B0E"/>
    <w:rsid w:val="0025444D"/>
    <w:rsid w:val="00262776"/>
    <w:rsid w:val="002A43DE"/>
    <w:rsid w:val="002B4353"/>
    <w:rsid w:val="002C0A20"/>
    <w:rsid w:val="002C20B5"/>
    <w:rsid w:val="002C735F"/>
    <w:rsid w:val="002E11D7"/>
    <w:rsid w:val="0030451B"/>
    <w:rsid w:val="003320A0"/>
    <w:rsid w:val="003425AB"/>
    <w:rsid w:val="0038198B"/>
    <w:rsid w:val="00387C2F"/>
    <w:rsid w:val="0039799F"/>
    <w:rsid w:val="003A1618"/>
    <w:rsid w:val="003A6558"/>
    <w:rsid w:val="003B0ACB"/>
    <w:rsid w:val="003B2495"/>
    <w:rsid w:val="003D3483"/>
    <w:rsid w:val="003E154F"/>
    <w:rsid w:val="004011F2"/>
    <w:rsid w:val="00415426"/>
    <w:rsid w:val="00440B75"/>
    <w:rsid w:val="00450784"/>
    <w:rsid w:val="004717D2"/>
    <w:rsid w:val="00474FB6"/>
    <w:rsid w:val="00496F60"/>
    <w:rsid w:val="004A06CF"/>
    <w:rsid w:val="004A2635"/>
    <w:rsid w:val="004E2C9E"/>
    <w:rsid w:val="004E7AA0"/>
    <w:rsid w:val="004F567D"/>
    <w:rsid w:val="00507584"/>
    <w:rsid w:val="00511A38"/>
    <w:rsid w:val="0052170D"/>
    <w:rsid w:val="00522D62"/>
    <w:rsid w:val="00523391"/>
    <w:rsid w:val="00530501"/>
    <w:rsid w:val="00531071"/>
    <w:rsid w:val="005340C4"/>
    <w:rsid w:val="00547EA9"/>
    <w:rsid w:val="00551014"/>
    <w:rsid w:val="00563BA9"/>
    <w:rsid w:val="00577360"/>
    <w:rsid w:val="0058611B"/>
    <w:rsid w:val="005878DB"/>
    <w:rsid w:val="00593626"/>
    <w:rsid w:val="005B3877"/>
    <w:rsid w:val="005C39C5"/>
    <w:rsid w:val="005D23EB"/>
    <w:rsid w:val="005D326E"/>
    <w:rsid w:val="00612CE1"/>
    <w:rsid w:val="00621DD3"/>
    <w:rsid w:val="0062234A"/>
    <w:rsid w:val="00623C57"/>
    <w:rsid w:val="00643B79"/>
    <w:rsid w:val="00655EDF"/>
    <w:rsid w:val="006568CD"/>
    <w:rsid w:val="006774BB"/>
    <w:rsid w:val="00680068"/>
    <w:rsid w:val="0068244C"/>
    <w:rsid w:val="00687745"/>
    <w:rsid w:val="006A4628"/>
    <w:rsid w:val="006D13EA"/>
    <w:rsid w:val="006D35EE"/>
    <w:rsid w:val="00703428"/>
    <w:rsid w:val="007062B9"/>
    <w:rsid w:val="00707DD6"/>
    <w:rsid w:val="00712AD2"/>
    <w:rsid w:val="00730B24"/>
    <w:rsid w:val="007355C8"/>
    <w:rsid w:val="007455A1"/>
    <w:rsid w:val="0077239D"/>
    <w:rsid w:val="00782D4A"/>
    <w:rsid w:val="007D6FC4"/>
    <w:rsid w:val="007E36C7"/>
    <w:rsid w:val="007F562D"/>
    <w:rsid w:val="008175B3"/>
    <w:rsid w:val="0082779F"/>
    <w:rsid w:val="0083634C"/>
    <w:rsid w:val="00842C47"/>
    <w:rsid w:val="00842E4F"/>
    <w:rsid w:val="008539A3"/>
    <w:rsid w:val="0085644D"/>
    <w:rsid w:val="0087322D"/>
    <w:rsid w:val="008745BC"/>
    <w:rsid w:val="00876415"/>
    <w:rsid w:val="008B1878"/>
    <w:rsid w:val="008C19BF"/>
    <w:rsid w:val="008E1D37"/>
    <w:rsid w:val="008E3145"/>
    <w:rsid w:val="008E55B3"/>
    <w:rsid w:val="008E5CDD"/>
    <w:rsid w:val="008E716A"/>
    <w:rsid w:val="008F6068"/>
    <w:rsid w:val="00956F3A"/>
    <w:rsid w:val="00966AD5"/>
    <w:rsid w:val="00973814"/>
    <w:rsid w:val="009B3FF5"/>
    <w:rsid w:val="009B4CE2"/>
    <w:rsid w:val="009C1E28"/>
    <w:rsid w:val="009D317B"/>
    <w:rsid w:val="009D5C8B"/>
    <w:rsid w:val="009D70AC"/>
    <w:rsid w:val="009D72B2"/>
    <w:rsid w:val="00A250A6"/>
    <w:rsid w:val="00A32812"/>
    <w:rsid w:val="00A35DA8"/>
    <w:rsid w:val="00A37C79"/>
    <w:rsid w:val="00A41CC1"/>
    <w:rsid w:val="00A501DD"/>
    <w:rsid w:val="00A64D0F"/>
    <w:rsid w:val="00A72F1B"/>
    <w:rsid w:val="00A751EB"/>
    <w:rsid w:val="00A76B17"/>
    <w:rsid w:val="00A96CE9"/>
    <w:rsid w:val="00A974A5"/>
    <w:rsid w:val="00AB39B9"/>
    <w:rsid w:val="00AF1DA4"/>
    <w:rsid w:val="00AF4E81"/>
    <w:rsid w:val="00B13972"/>
    <w:rsid w:val="00B347F0"/>
    <w:rsid w:val="00B60FC2"/>
    <w:rsid w:val="00B73786"/>
    <w:rsid w:val="00BA5376"/>
    <w:rsid w:val="00BA7083"/>
    <w:rsid w:val="00BB1B61"/>
    <w:rsid w:val="00BC1D4E"/>
    <w:rsid w:val="00BC6610"/>
    <w:rsid w:val="00BF573F"/>
    <w:rsid w:val="00C01D6C"/>
    <w:rsid w:val="00C32424"/>
    <w:rsid w:val="00C477DE"/>
    <w:rsid w:val="00C820F7"/>
    <w:rsid w:val="00CA1BDA"/>
    <w:rsid w:val="00CA3306"/>
    <w:rsid w:val="00CA49AC"/>
    <w:rsid w:val="00CA7A9B"/>
    <w:rsid w:val="00CB6265"/>
    <w:rsid w:val="00CC1B50"/>
    <w:rsid w:val="00CC5C4A"/>
    <w:rsid w:val="00CF2235"/>
    <w:rsid w:val="00D1335D"/>
    <w:rsid w:val="00D20C65"/>
    <w:rsid w:val="00D261A0"/>
    <w:rsid w:val="00D30128"/>
    <w:rsid w:val="00D548F1"/>
    <w:rsid w:val="00D76588"/>
    <w:rsid w:val="00D810BD"/>
    <w:rsid w:val="00D836D0"/>
    <w:rsid w:val="00D851DA"/>
    <w:rsid w:val="00D9173E"/>
    <w:rsid w:val="00DB11F6"/>
    <w:rsid w:val="00DB4840"/>
    <w:rsid w:val="00DD1003"/>
    <w:rsid w:val="00DD445A"/>
    <w:rsid w:val="00DD6C9C"/>
    <w:rsid w:val="00DE0575"/>
    <w:rsid w:val="00DE5DBB"/>
    <w:rsid w:val="00E06A3E"/>
    <w:rsid w:val="00E20B43"/>
    <w:rsid w:val="00E21032"/>
    <w:rsid w:val="00E2313E"/>
    <w:rsid w:val="00E42BDC"/>
    <w:rsid w:val="00E5278D"/>
    <w:rsid w:val="00E640B4"/>
    <w:rsid w:val="00E660A8"/>
    <w:rsid w:val="00E71F85"/>
    <w:rsid w:val="00E80534"/>
    <w:rsid w:val="00E95826"/>
    <w:rsid w:val="00EB65D7"/>
    <w:rsid w:val="00ED17BB"/>
    <w:rsid w:val="00ED75A0"/>
    <w:rsid w:val="00EF29E8"/>
    <w:rsid w:val="00EF5D8C"/>
    <w:rsid w:val="00EF60FC"/>
    <w:rsid w:val="00F37BFB"/>
    <w:rsid w:val="00F564EA"/>
    <w:rsid w:val="00F809E3"/>
    <w:rsid w:val="00FA0F60"/>
    <w:rsid w:val="00FA13E3"/>
    <w:rsid w:val="00FA56F0"/>
    <w:rsid w:val="00FA74C8"/>
    <w:rsid w:val="00FB0FEF"/>
    <w:rsid w:val="00FB65CE"/>
    <w:rsid w:val="00FC0B2E"/>
    <w:rsid w:val="00FC31BE"/>
    <w:rsid w:val="00FD0122"/>
    <w:rsid w:val="00FD466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F60"/>
  <w15:chartTrackingRefBased/>
  <w15:docId w15:val="{435F70AB-CEAE-464D-9731-F52501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mpj7bzys">
    <w:name w:val="mpj7bzys"/>
    <w:basedOn w:val="Fuentedeprrafopredeter"/>
    <w:rsid w:val="002B4353"/>
  </w:style>
  <w:style w:type="character" w:styleId="Hipervnculo">
    <w:name w:val="Hyperlink"/>
    <w:basedOn w:val="Fuentedeprrafopredeter"/>
    <w:uiPriority w:val="99"/>
    <w:unhideWhenUsed/>
    <w:rsid w:val="00BA70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radedesk.com/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tradedesk.com/assets/global/documents/TTD-Sellers-and-Publishers-Report-May-202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2023-10-19T15:54:00Z</cp:lastPrinted>
  <dcterms:created xsi:type="dcterms:W3CDTF">2024-07-04T13:57:00Z</dcterms:created>
  <dcterms:modified xsi:type="dcterms:W3CDTF">2024-07-09T13:47:00Z</dcterms:modified>
</cp:coreProperties>
</file>