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C384" w14:textId="71B152D0" w:rsidR="00B532B6" w:rsidRDefault="00B532B6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5289693">
            <wp:simplePos x="0" y="0"/>
            <wp:positionH relativeFrom="page">
              <wp:posOffset>4072255</wp:posOffset>
            </wp:positionH>
            <wp:positionV relativeFrom="margin">
              <wp:posOffset>-454025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616EC611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2519AB4C" w:rsidR="007A2B62" w:rsidRPr="006572C2" w:rsidRDefault="007A2B62" w:rsidP="00752FE6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9219C">
        <w:rPr>
          <w:rFonts w:ascii="Arial" w:eastAsia="Times New Roman" w:hAnsi="Arial" w:cs="Arial"/>
          <w:sz w:val="24"/>
          <w:szCs w:val="24"/>
          <w:lang w:eastAsia="es-ES"/>
        </w:rPr>
        <w:t>6 de 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27F7FAF6" w14:textId="2ED5B17A" w:rsidR="00A77B66" w:rsidRDefault="003606E0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Jesús Vázquez pondrá 500.000 euros en juego en cada entrega del nuevo ‘</w:t>
      </w:r>
      <w:r w:rsidR="008D2C82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¡</w:t>
      </w:r>
      <w:r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Allá tú!’</w:t>
      </w:r>
      <w:r w:rsidR="00261FF3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 xml:space="preserve"> que Telecinco emitirá semanalmente en </w:t>
      </w:r>
      <w:r w:rsidR="00261FF3" w:rsidRPr="00A250A0">
        <w:rPr>
          <w:rFonts w:ascii="Arial" w:hAnsi="Arial" w:cs="Arial"/>
          <w:bCs/>
          <w:i/>
          <w:iCs/>
          <w:color w:val="002C5F"/>
          <w:spacing w:val="-4"/>
          <w:sz w:val="42"/>
          <w:szCs w:val="42"/>
          <w:lang w:eastAsia="es-ES"/>
        </w:rPr>
        <w:t>prime time</w:t>
      </w:r>
    </w:p>
    <w:p w14:paraId="0979C195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C76ACC3" w14:textId="6B3174C0" w:rsidR="00261FF3" w:rsidRDefault="00261FF3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mítico concurso regresa a la cadena el domingo 9 de julio (22:00h) con un decorado renovado, giros inéditos en su mecánica y un nuev</w:t>
      </w:r>
      <w:r w:rsidR="008D62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D62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juego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23A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‘</w:t>
      </w:r>
      <w:r w:rsidR="000E4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523A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r w:rsidR="000E4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</w:t>
      </w:r>
      <w:r w:rsidR="00523A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anquero’ puede proponer al concursante cuando el riesgo de no llevarse un b</w:t>
      </w:r>
      <w:r w:rsidR="000E4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</w:t>
      </w:r>
      <w:r w:rsidR="00523A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premio es alto.</w:t>
      </w:r>
    </w:p>
    <w:p w14:paraId="16966626" w14:textId="77777777" w:rsidR="00E2014A" w:rsidRPr="00A250A0" w:rsidRDefault="00E2014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BA51E07" w14:textId="54C5BD86" w:rsidR="000E4385" w:rsidRPr="000E4385" w:rsidRDefault="001F6BA8" w:rsidP="005A1C97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Tensión </w:t>
      </w:r>
      <w:r w:rsidRPr="00191DB0">
        <w:rPr>
          <w:rFonts w:ascii="Arial" w:eastAsia="Times New Roman" w:hAnsi="Arial" w:cs="Arial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reciente ante la posibilidad de ganar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gran premio</w:t>
      </w:r>
      <w:r w:rsidR="005B559F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económico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…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 perderlo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vaivenes de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 la tesitura de </w:t>
      </w:r>
      <w:r w:rsidR="00813131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continuar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el final</w:t>
      </w:r>
      <w:r w:rsidR="005B559F">
        <w:rPr>
          <w:rFonts w:ascii="Arial" w:eastAsia="Times New Roman" w:hAnsi="Arial" w:cs="Arial"/>
          <w:sz w:val="24"/>
          <w:szCs w:val="24"/>
          <w:lang w:eastAsia="es-ES"/>
        </w:rPr>
        <w:t xml:space="preserve"> en el juego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…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 </w:t>
      </w:r>
      <w:r w:rsidR="005B559F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abandonar</w:t>
      </w:r>
      <w:r w:rsidR="005B559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3131">
        <w:rPr>
          <w:rFonts w:ascii="Arial" w:eastAsia="Times New Roman" w:hAnsi="Arial" w:cs="Arial"/>
          <w:sz w:val="24"/>
          <w:szCs w:val="24"/>
          <w:lang w:eastAsia="es-ES"/>
        </w:rPr>
        <w:t>para evitar el r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>iesgo</w:t>
      </w:r>
      <w:r w:rsidR="0081313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079C0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 w:rsidR="00813131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umor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079C0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="00813131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iversión</w:t>
      </w:r>
      <w:r w:rsidR="008131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079C0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buen rollo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 xml:space="preserve"> en el ‘equipo’ de los </w:t>
      </w:r>
      <w:r w:rsidR="008079C0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 concursantes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 xml:space="preserve"> que comparten </w:t>
      </w:r>
      <w:r w:rsidR="001D720F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 xml:space="preserve"> experiencia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 en la que dos de ellos pueden </w:t>
      </w:r>
      <w:r w:rsidR="00C80AC5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irse a casa con 250.000 euros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 xml:space="preserve">. Estas son las señas de identidad de </w:t>
      </w:r>
      <w:r w:rsidR="008079C0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‘¡Allá tú!’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 xml:space="preserve">, mítico concurso de televisión que </w:t>
      </w:r>
      <w:r w:rsidR="008079C0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regresa a Telecinco el próximo domingo 9 de julio (22:00h)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 xml:space="preserve"> con un maestro de ceremonias asociado a fuego a la historia del formato: </w:t>
      </w:r>
      <w:r w:rsidR="008079C0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 Vázquez</w:t>
      </w:r>
      <w:r w:rsidR="008079C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A2B3EE5" w14:textId="77777777" w:rsidR="000E4385" w:rsidRPr="001F6BA8" w:rsidRDefault="000E4385" w:rsidP="005A1C97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14860D" w14:textId="3DC2D21E" w:rsidR="005A1C97" w:rsidRDefault="008079C0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Producid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colaboración con Gestmusic (Banijay Iberia), </w:t>
      </w:r>
      <w:r w:rsidR="00C80AC5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‘¡Allá tú!’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 es un </w:t>
      </w:r>
      <w:proofErr w:type="spellStart"/>
      <w:r w:rsidR="00C80AC5" w:rsidRPr="00C80AC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game</w:t>
      </w:r>
      <w:proofErr w:type="spellEnd"/>
      <w:r w:rsidR="00C80AC5" w:rsidRPr="00C80AC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show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4E3B">
        <w:rPr>
          <w:rFonts w:ascii="Arial" w:eastAsia="Times New Roman" w:hAnsi="Arial" w:cs="Arial"/>
          <w:sz w:val="24"/>
          <w:szCs w:val="24"/>
          <w:lang w:eastAsia="es-ES"/>
        </w:rPr>
        <w:t xml:space="preserve">que no exige preparación, cultura o habilidades especiales a los concursantes, pero sí </w:t>
      </w:r>
      <w:r w:rsidR="000D4E3B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capacidad de negociación</w:t>
      </w:r>
      <w:r w:rsidR="000D4E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D4E3B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intuición</w:t>
      </w:r>
      <w:r w:rsidR="000D4E3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24DB1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0D4E3B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emplanza a la hora de tomar decisiones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. En esta nueva etapa, </w:t>
      </w:r>
      <w:r w:rsidR="00C80AC5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‘Allá tú!’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D720F">
        <w:rPr>
          <w:rFonts w:ascii="Arial" w:eastAsia="Times New Roman" w:hAnsi="Arial" w:cs="Arial"/>
          <w:sz w:val="24"/>
          <w:szCs w:val="24"/>
          <w:lang w:eastAsia="es-ES"/>
        </w:rPr>
        <w:t>vuelve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 12 años después de su despedida con una </w:t>
      </w:r>
      <w:r w:rsidR="00C80AC5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escenografía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80AC5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iluminación 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80AC5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elementos gráficos renovados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C80AC5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plató de mayores dimensiones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 y dos importantes novedades: </w:t>
      </w:r>
      <w:r w:rsidR="00C80AC5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Pulsador de la Oferta Extra’</w:t>
      </w:r>
      <w:r w:rsidR="00C80AC5">
        <w:rPr>
          <w:rFonts w:ascii="Arial" w:eastAsia="Times New Roman" w:hAnsi="Arial" w:cs="Arial"/>
          <w:sz w:val="24"/>
          <w:szCs w:val="24"/>
          <w:lang w:eastAsia="es-ES"/>
        </w:rPr>
        <w:t xml:space="preserve">, que brinda al concursante </w:t>
      </w:r>
      <w:r w:rsidR="001D720F">
        <w:rPr>
          <w:rFonts w:ascii="Arial" w:eastAsia="Times New Roman" w:hAnsi="Arial" w:cs="Arial"/>
          <w:sz w:val="24"/>
          <w:szCs w:val="24"/>
          <w:lang w:eastAsia="es-ES"/>
        </w:rPr>
        <w:t xml:space="preserve">la ocasión de disponer de una propuesta de ‘El Banquero’ a voluntad; y </w:t>
      </w:r>
      <w:r w:rsidR="001D720F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Comunidad de la Suerte’</w:t>
      </w:r>
      <w:r w:rsidR="001D720F">
        <w:rPr>
          <w:rFonts w:ascii="Arial" w:eastAsia="Times New Roman" w:hAnsi="Arial" w:cs="Arial"/>
          <w:sz w:val="24"/>
          <w:szCs w:val="24"/>
          <w:lang w:eastAsia="es-ES"/>
        </w:rPr>
        <w:t>, un juego alternativo para que el participante puede optar una suculenta cantidad de dinero si sus posibilidades de ganar un buen premio en el juego principal se han ido esfumando.</w:t>
      </w:r>
    </w:p>
    <w:p w14:paraId="57B1644B" w14:textId="77777777" w:rsidR="005A1C97" w:rsidRDefault="005A1C97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492D24" w14:textId="3A40C954" w:rsidR="00D923BB" w:rsidRPr="00A250A0" w:rsidRDefault="00D923BB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A25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</w:t>
      </w:r>
      <w:r w:rsidR="00A250A0" w:rsidRPr="00A25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 mecánica de ‘¡Allá tú!’</w:t>
      </w:r>
    </w:p>
    <w:p w14:paraId="551B0021" w14:textId="77777777" w:rsidR="00D923BB" w:rsidRDefault="00D923BB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792D56" w14:textId="7A7560D2" w:rsidR="00D923BB" w:rsidRDefault="00D923BB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‘¡Allá tú!’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reúnen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 concursantes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 cada uno se le entrega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caja sellada y numerada</w:t>
      </w:r>
      <w:r w:rsidR="00533976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premio en su interior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juego se desarrolla en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rondas consecutivas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cada una de ellas protagonizada por un concursante distinto elegidos al azar </w:t>
      </w:r>
      <w:r w:rsidR="001D720F">
        <w:rPr>
          <w:rFonts w:ascii="Arial" w:eastAsia="Times New Roman" w:hAnsi="Arial" w:cs="Arial"/>
          <w:sz w:val="24"/>
          <w:szCs w:val="24"/>
          <w:lang w:eastAsia="es-ES"/>
        </w:rPr>
        <w:t xml:space="preserve">en el grupo </w:t>
      </w:r>
      <w:r>
        <w:rPr>
          <w:rFonts w:ascii="Arial" w:eastAsia="Times New Roman" w:hAnsi="Arial" w:cs="Arial"/>
          <w:sz w:val="24"/>
          <w:szCs w:val="24"/>
          <w:lang w:eastAsia="es-ES"/>
        </w:rPr>
        <w:t>en función de la provincia de la que proceden.</w:t>
      </w:r>
    </w:p>
    <w:p w14:paraId="33986D5D" w14:textId="77777777" w:rsidR="00D923BB" w:rsidRDefault="00D923BB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080663" w14:textId="40EDAACB" w:rsidR="00D923BB" w:rsidRDefault="00533976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afortunado se sentará entonces junto a </w:t>
      </w:r>
      <w:r w:rsidRPr="001D720F">
        <w:rPr>
          <w:rFonts w:ascii="Arial" w:eastAsia="Times New Roman" w:hAnsi="Arial" w:cs="Arial"/>
          <w:sz w:val="24"/>
          <w:szCs w:val="24"/>
          <w:lang w:eastAsia="es-ES"/>
        </w:rPr>
        <w:t>Jesús Vázquez con su caja, en la que está oculto el premio que en principio se va a llevar</w:t>
      </w:r>
      <w:r w:rsidR="001D720F" w:rsidRPr="001D720F">
        <w:rPr>
          <w:rFonts w:ascii="Arial" w:eastAsia="Times New Roman" w:hAnsi="Arial" w:cs="Arial"/>
          <w:sz w:val="24"/>
          <w:szCs w:val="24"/>
          <w:lang w:eastAsia="es-ES"/>
        </w:rPr>
        <w:t xml:space="preserve"> a casa</w:t>
      </w:r>
      <w:r w:rsidRPr="001D720F">
        <w:rPr>
          <w:rFonts w:ascii="Arial" w:eastAsia="Times New Roman" w:hAnsi="Arial" w:cs="Arial"/>
          <w:sz w:val="24"/>
          <w:szCs w:val="24"/>
          <w:lang w:eastAsia="es-ES"/>
        </w:rPr>
        <w:t>.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panel, aparecerán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 premios dispuestos en dos columnas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a la izquierda los premios económicos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menos relevantes -entre 0,10€ y 750€- y algunos objetos de poco valor y a la derecha los premios más suculentos,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entre 1.000€ y 250.000€.</w:t>
      </w:r>
    </w:p>
    <w:p w14:paraId="2EE57E4B" w14:textId="626E9759" w:rsidR="00930186" w:rsidRDefault="00533976" w:rsidP="0093018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todo preparado, el concursante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comenzará a pedir a sus compañeros que abran sucesivamente sus cajas</w:t>
      </w:r>
      <w:r w:rsidR="0068105D">
        <w:rPr>
          <w:rFonts w:ascii="Arial" w:eastAsia="Times New Roman" w:hAnsi="Arial" w:cs="Arial"/>
          <w:sz w:val="24"/>
          <w:szCs w:val="24"/>
          <w:lang w:eastAsia="es-ES"/>
        </w:rPr>
        <w:t xml:space="preserve"> para revelar los premios a los que ya no podrá optar</w:t>
      </w:r>
      <w:r w:rsidR="00930186">
        <w:rPr>
          <w:rFonts w:ascii="Arial" w:eastAsia="Times New Roman" w:hAnsi="Arial" w:cs="Arial"/>
          <w:sz w:val="24"/>
          <w:szCs w:val="24"/>
          <w:lang w:eastAsia="es-ES"/>
        </w:rPr>
        <w:t xml:space="preserve">. A medida que vayan abriéndose las cajas, los premios que contienen irán desapareciendo del panel. </w:t>
      </w:r>
      <w:r w:rsidR="0093018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lo largo del proceso y para darle más emoción, </w:t>
      </w:r>
      <w:r w:rsidR="006C5A89">
        <w:rPr>
          <w:rFonts w:ascii="Arial" w:eastAsia="Times New Roman" w:hAnsi="Arial" w:cs="Arial"/>
          <w:sz w:val="24"/>
          <w:szCs w:val="24"/>
          <w:lang w:val="es-ES_tradnl" w:eastAsia="es-ES"/>
        </w:rPr>
        <w:t>Jesús Vázquez tendr</w:t>
      </w:r>
      <w:r w:rsidR="00BE7157">
        <w:rPr>
          <w:rFonts w:ascii="Arial" w:eastAsia="Times New Roman" w:hAnsi="Arial" w:cs="Arial"/>
          <w:sz w:val="24"/>
          <w:szCs w:val="24"/>
          <w:lang w:val="es-ES_tradnl" w:eastAsia="es-ES"/>
        </w:rPr>
        <w:t>á</w:t>
      </w:r>
      <w:r w:rsidR="006C5A8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6C5A89" w:rsidRPr="001D720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un teléfono en la mesa en el que irá recibiendo llamadas de ‘El Banquero’</w:t>
      </w:r>
      <w:r w:rsidR="00930186">
        <w:rPr>
          <w:rFonts w:ascii="Arial" w:eastAsia="Times New Roman" w:hAnsi="Arial" w:cs="Arial"/>
          <w:sz w:val="24"/>
          <w:szCs w:val="24"/>
          <w:lang w:val="es-ES_tradnl" w:eastAsia="es-ES"/>
        </w:rPr>
        <w:t>, u</w:t>
      </w:r>
      <w:r w:rsidR="00930186" w:rsidRPr="000D4E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 enigmático personaje que ofrece </w:t>
      </w:r>
      <w:r w:rsidR="00930186" w:rsidRPr="000D4E3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posibles trueques económicos</w:t>
      </w:r>
      <w:r w:rsidR="00930186" w:rsidRPr="00D24D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93018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 renuncia al contenido de </w:t>
      </w:r>
      <w:r w:rsidR="001D720F">
        <w:rPr>
          <w:rFonts w:ascii="Arial" w:eastAsia="Times New Roman" w:hAnsi="Arial" w:cs="Arial"/>
          <w:sz w:val="24"/>
          <w:szCs w:val="24"/>
          <w:lang w:val="es-ES_tradnl" w:eastAsia="es-ES"/>
        </w:rPr>
        <w:t>su caja y de las que le</w:t>
      </w:r>
      <w:r w:rsidR="0093018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queda</w:t>
      </w:r>
      <w:r w:rsidR="001D720F">
        <w:rPr>
          <w:rFonts w:ascii="Arial" w:eastAsia="Times New Roman" w:hAnsi="Arial" w:cs="Arial"/>
          <w:sz w:val="24"/>
          <w:szCs w:val="24"/>
          <w:lang w:val="es-ES_tradnl" w:eastAsia="es-ES"/>
        </w:rPr>
        <w:t>n</w:t>
      </w:r>
      <w:r w:rsidR="0093018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 abrir.</w:t>
      </w:r>
      <w:r w:rsidR="00930186" w:rsidRPr="000D4E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5A89">
        <w:rPr>
          <w:rFonts w:ascii="Arial" w:eastAsia="Times New Roman" w:hAnsi="Arial" w:cs="Arial"/>
          <w:sz w:val="24"/>
          <w:szCs w:val="24"/>
          <w:lang w:eastAsia="es-ES"/>
        </w:rPr>
        <w:t xml:space="preserve">En la primera llamada del banquero, tendrá lugar </w:t>
      </w:r>
      <w:r w:rsidR="006C5A89"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primera novedad del programa</w:t>
      </w:r>
      <w:r w:rsidR="006C5A89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28FBA08D" w14:textId="77777777" w:rsidR="006C5A89" w:rsidRDefault="006C5A89" w:rsidP="0093018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FE8D27" w14:textId="7DC75A1A" w:rsidR="006C5A89" w:rsidRPr="006C5A89" w:rsidRDefault="006C5A89" w:rsidP="0093018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C5A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pulsador de la oferta extra</w:t>
      </w:r>
    </w:p>
    <w:p w14:paraId="63A29CAF" w14:textId="3B50CC0A" w:rsidR="004C4B07" w:rsidRDefault="0025628F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primera vez en la historia del formato, el concursante tiene la oportunidad de disponer a voluntad de ‘El Banquero’. Cuando este llame por primera vez, el concursante </w:t>
      </w:r>
      <w:r w:rsidRP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intentará adivinar la oferta que ha hecho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margen de error de 1.000€. Si lo consigue, </w:t>
      </w:r>
      <w:r w:rsidRPr="0025628F">
        <w:rPr>
          <w:rFonts w:ascii="Arial" w:eastAsia="Times New Roman" w:hAnsi="Arial" w:cs="Arial"/>
          <w:sz w:val="24"/>
          <w:szCs w:val="24"/>
          <w:lang w:eastAsia="es-ES"/>
        </w:rPr>
        <w:t xml:space="preserve">conseguirá activar el </w:t>
      </w:r>
      <w:r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Pr="002562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ulsador </w:t>
      </w:r>
      <w:r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2562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zul de la </w:t>
      </w:r>
      <w:r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Oferta Extra</w:t>
      </w:r>
      <w:r>
        <w:rPr>
          <w:rFonts w:ascii="Arial" w:eastAsia="Times New Roman" w:hAnsi="Arial" w:cs="Arial"/>
          <w:sz w:val="24"/>
          <w:szCs w:val="24"/>
          <w:lang w:eastAsia="es-ES"/>
        </w:rPr>
        <w:t>, un dispositivo que al apretarlo le servirá para solicitar en cualquier momento una oferta adicional.</w:t>
      </w:r>
    </w:p>
    <w:p w14:paraId="1CD645A2" w14:textId="77777777" w:rsidR="005B1204" w:rsidRDefault="005B1204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08637" w14:textId="35C98B80" w:rsidR="0025628F" w:rsidRDefault="0025628F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medida que el juego avance y Jesús Vázquez vaya revelando las ofertas de ‘El Banquero’, el concursante podrá aceptarlas o rechazarlas. Si acepta una, </w:t>
      </w:r>
      <w:r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juego se detiene y se lleva el premio propuesto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Si la rechaza, cogerá el cheque en el que el presentador ha escrito la oferta y la destruirá en </w:t>
      </w:r>
      <w:r w:rsidR="000A07CF"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Trituradora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C967377" w14:textId="77777777" w:rsidR="0025628F" w:rsidRDefault="0025628F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1D04BD" w14:textId="565DFC78" w:rsidR="005B1204" w:rsidRPr="000A07CF" w:rsidRDefault="005B1204" w:rsidP="00BE7157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medida que se van descartando premios</w:t>
      </w:r>
      <w:r w:rsidR="0025628F">
        <w:rPr>
          <w:rFonts w:ascii="Arial" w:eastAsia="Times New Roman" w:hAnsi="Arial" w:cs="Arial"/>
          <w:sz w:val="24"/>
          <w:szCs w:val="24"/>
          <w:lang w:eastAsia="es-ES"/>
        </w:rPr>
        <w:t xml:space="preserve"> y rechazando ofertas, </w:t>
      </w:r>
      <w:r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va acumulando la </w:t>
      </w:r>
      <w:r w:rsidR="00BE7157"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 y la tensión</w:t>
      </w:r>
      <w:r w:rsidR="00BE7157">
        <w:rPr>
          <w:rFonts w:ascii="Arial" w:eastAsia="Times New Roman" w:hAnsi="Arial" w:cs="Arial"/>
          <w:sz w:val="24"/>
          <w:szCs w:val="24"/>
          <w:lang w:eastAsia="es-ES"/>
        </w:rPr>
        <w:t xml:space="preserve"> por conocer la cantidad de dinero que finalmente va a ganar el concursante. Si el riesgo por llevarse un mal premio es alto, el concursante </w:t>
      </w:r>
      <w:r w:rsidR="000A07CF">
        <w:rPr>
          <w:rFonts w:ascii="Arial" w:eastAsia="Times New Roman" w:hAnsi="Arial" w:cs="Arial"/>
          <w:sz w:val="24"/>
          <w:szCs w:val="24"/>
          <w:lang w:eastAsia="es-ES"/>
        </w:rPr>
        <w:t xml:space="preserve">recibirá la propuesta de </w:t>
      </w:r>
      <w:r w:rsidR="000A07CF"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="00BE7157"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ejar de abrir cajas y jugar a otra de las novedades del concurso:</w:t>
      </w:r>
    </w:p>
    <w:p w14:paraId="48330881" w14:textId="77777777" w:rsidR="000C5280" w:rsidRDefault="000C5280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8D4F93" w14:textId="033C7EDC" w:rsidR="00BE7157" w:rsidRPr="00BE7157" w:rsidRDefault="00BE7157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E71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Comunidad de la Suerte</w:t>
      </w:r>
    </w:p>
    <w:p w14:paraId="39AE476C" w14:textId="66F399C8" w:rsidR="00A250A0" w:rsidRDefault="000C5280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Hacia el final del juego, </w:t>
      </w:r>
      <w:r w:rsidR="00523A10">
        <w:rPr>
          <w:rFonts w:ascii="Arial" w:eastAsia="Times New Roman" w:hAnsi="Arial" w:cs="Arial"/>
          <w:sz w:val="24"/>
          <w:szCs w:val="24"/>
          <w:lang w:eastAsia="es-ES"/>
        </w:rPr>
        <w:t>‘el Banquero’ p</w:t>
      </w:r>
      <w:r w:rsidR="000A07CF">
        <w:rPr>
          <w:rFonts w:ascii="Arial" w:eastAsia="Times New Roman" w:hAnsi="Arial" w:cs="Arial"/>
          <w:sz w:val="24"/>
          <w:szCs w:val="24"/>
          <w:lang w:eastAsia="es-ES"/>
        </w:rPr>
        <w:t>ropondrá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 al concursante </w:t>
      </w:r>
      <w:r w:rsidR="00523A10">
        <w:rPr>
          <w:rFonts w:ascii="Arial" w:eastAsia="Times New Roman" w:hAnsi="Arial" w:cs="Arial"/>
          <w:sz w:val="24"/>
          <w:szCs w:val="24"/>
          <w:lang w:eastAsia="es-ES"/>
        </w:rPr>
        <w:t>abandonar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3A10">
        <w:rPr>
          <w:rFonts w:ascii="Arial" w:eastAsia="Times New Roman" w:hAnsi="Arial" w:cs="Arial"/>
          <w:sz w:val="24"/>
          <w:szCs w:val="24"/>
          <w:lang w:eastAsia="es-ES"/>
        </w:rPr>
        <w:t>la apertura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3A1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 las cajas para jugar a</w:t>
      </w:r>
      <w:r w:rsidR="00523A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3A10"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comunidad de la </w:t>
      </w:r>
      <w:r w:rsid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523A10"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uerte’</w:t>
      </w:r>
      <w:r w:rsidR="00A250A0">
        <w:rPr>
          <w:rFonts w:ascii="Arial" w:eastAsia="Times New Roman" w:hAnsi="Arial" w:cs="Arial"/>
          <w:sz w:val="24"/>
          <w:szCs w:val="24"/>
          <w:lang w:eastAsia="es-ES"/>
        </w:rPr>
        <w:t xml:space="preserve">, un juego en el que tendrá que 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adivinar </w:t>
      </w:r>
      <w:r w:rsidR="00523A10">
        <w:rPr>
          <w:rFonts w:ascii="Arial" w:eastAsia="Times New Roman" w:hAnsi="Arial" w:cs="Arial"/>
          <w:sz w:val="24"/>
          <w:szCs w:val="24"/>
          <w:lang w:eastAsia="es-ES"/>
        </w:rPr>
        <w:t xml:space="preserve">la Comunidad Autónoma </w:t>
      </w:r>
      <w:r w:rsidR="00A250A0">
        <w:rPr>
          <w:rFonts w:ascii="Arial" w:eastAsia="Times New Roman" w:hAnsi="Arial" w:cs="Arial"/>
          <w:sz w:val="24"/>
          <w:szCs w:val="24"/>
          <w:lang w:eastAsia="es-ES"/>
        </w:rPr>
        <w:t xml:space="preserve">que se oculta en una caja 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plateada que está en el plató desde el inicio del programa. </w:t>
      </w:r>
      <w:r w:rsidR="00A250A0">
        <w:rPr>
          <w:rFonts w:ascii="Arial" w:eastAsia="Times New Roman" w:hAnsi="Arial" w:cs="Arial"/>
          <w:sz w:val="24"/>
          <w:szCs w:val="24"/>
          <w:lang w:eastAsia="es-ES"/>
        </w:rPr>
        <w:t>La pantalla mostrará un mapa de España con sus 17 comunidades y Ceuta y Melilla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250A0">
        <w:rPr>
          <w:rFonts w:ascii="Arial" w:eastAsia="Times New Roman" w:hAnsi="Arial" w:cs="Arial"/>
          <w:sz w:val="24"/>
          <w:szCs w:val="24"/>
          <w:lang w:eastAsia="es-ES"/>
        </w:rPr>
        <w:t xml:space="preserve">Si el concursante acierta al primer intento, </w:t>
      </w:r>
      <w:r w:rsidR="00A250A0"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llevará 30.000€</w:t>
      </w:r>
      <w:r w:rsidR="00A250A0">
        <w:rPr>
          <w:rFonts w:ascii="Arial" w:eastAsia="Times New Roman" w:hAnsi="Arial" w:cs="Arial"/>
          <w:sz w:val="24"/>
          <w:szCs w:val="24"/>
          <w:lang w:eastAsia="es-ES"/>
        </w:rPr>
        <w:t xml:space="preserve">; si no lo hace, ocho comunidades desaparecerán del mapa y </w:t>
      </w:r>
      <w:r w:rsidR="00A250A0"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podrá intentarlo una segunda vez</w:t>
      </w:r>
      <w:r w:rsidR="00A250A0">
        <w:rPr>
          <w:rFonts w:ascii="Arial" w:eastAsia="Times New Roman" w:hAnsi="Arial" w:cs="Arial"/>
          <w:sz w:val="24"/>
          <w:szCs w:val="24"/>
          <w:lang w:eastAsia="es-ES"/>
        </w:rPr>
        <w:t xml:space="preserve"> entre las diez restantes, de manera que si lo consigue </w:t>
      </w:r>
      <w:r w:rsidR="00A250A0"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ganará 10.000€</w:t>
      </w:r>
      <w:r w:rsidR="00A250A0">
        <w:rPr>
          <w:rFonts w:ascii="Arial" w:eastAsia="Times New Roman" w:hAnsi="Arial" w:cs="Arial"/>
          <w:sz w:val="24"/>
          <w:szCs w:val="24"/>
          <w:lang w:eastAsia="es-ES"/>
        </w:rPr>
        <w:t xml:space="preserve"> y si no lo hace, se tendrá que ir de vacío.</w:t>
      </w:r>
    </w:p>
    <w:p w14:paraId="0F16668D" w14:textId="77777777" w:rsidR="000C5280" w:rsidRPr="000C5280" w:rsidRDefault="000C5280" w:rsidP="000C528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1A4BA2" w14:textId="024E31E6" w:rsidR="00CE6FCB" w:rsidRDefault="00A250A0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 el concursante decide no jugar y proseguir con la apertura de las cajas, </w:t>
      </w:r>
      <w:r w:rsidRPr="000A07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continuará hasta el final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E05A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ganará el premio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oculto en la suya</w:t>
      </w:r>
      <w:r w:rsidR="000A07CF">
        <w:rPr>
          <w:rFonts w:ascii="Arial" w:eastAsia="Times New Roman" w:hAnsi="Arial" w:cs="Arial"/>
          <w:sz w:val="24"/>
          <w:szCs w:val="24"/>
          <w:lang w:eastAsia="es-ES"/>
        </w:rPr>
        <w:t xml:space="preserve"> propia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4786C3C" w14:textId="77777777" w:rsidR="00CE6FCB" w:rsidRDefault="00CE6FCB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B73220" w14:textId="50E6EF4F" w:rsidR="00A250A0" w:rsidRPr="00A250A0" w:rsidRDefault="00A250A0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A250A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‘¡Allá tú!’, un formato de éxito internacional</w:t>
      </w:r>
    </w:p>
    <w:p w14:paraId="15A5FA4D" w14:textId="77777777" w:rsidR="00A250A0" w:rsidRPr="00A250A0" w:rsidRDefault="00A250A0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48E1646E" w14:textId="7C36121B" w:rsidR="00A250A0" w:rsidRDefault="00A250A0" w:rsidP="00A250A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‘¡Allá tú!’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 es la </w:t>
      </w:r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adaptaci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española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 del formato internacional </w:t>
      </w:r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‘Deal </w:t>
      </w:r>
      <w:proofErr w:type="spellStart"/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</w:t>
      </w:r>
      <w:proofErr w:type="spellEnd"/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</w:t>
      </w:r>
      <w:proofErr w:type="spellEnd"/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deal’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distribuido por Banijay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 y emitido </w:t>
      </w:r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83 territorios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 desde su creación con gran éxito de audiencia. Las recientes reediciones que se han llevado a cabo en países como </w:t>
      </w:r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Francia,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Italia, Argentina, Países Bajos, Rumanía, Sudáfrica</w:t>
      </w:r>
      <w:r w:rsidR="001D7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 xml:space="preserve">y la que actualmente prepara </w:t>
      </w:r>
      <w:r w:rsidRPr="000C5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Reino Unido</w:t>
      </w:r>
      <w:r w:rsidRPr="000C5280">
        <w:rPr>
          <w:rFonts w:ascii="Arial" w:eastAsia="Times New Roman" w:hAnsi="Arial" w:cs="Arial"/>
          <w:sz w:val="24"/>
          <w:szCs w:val="24"/>
          <w:lang w:eastAsia="es-ES"/>
        </w:rPr>
        <w:t>, respaldan la vigencia del programa.</w:t>
      </w:r>
    </w:p>
    <w:sectPr w:rsidR="00A250A0" w:rsidSect="00B532B6">
      <w:footerReference w:type="default" r:id="rId11"/>
      <w:pgSz w:w="11906" w:h="16838"/>
      <w:pgMar w:top="1276" w:right="155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167C" w14:textId="77777777" w:rsidR="00776A48" w:rsidRDefault="00776A48" w:rsidP="00776A48">
      <w:pPr>
        <w:spacing w:after="0" w:line="240" w:lineRule="auto"/>
      </w:pPr>
      <w:r>
        <w:separator/>
      </w:r>
    </w:p>
  </w:endnote>
  <w:endnote w:type="continuationSeparator" w:id="0">
    <w:p w14:paraId="6924A24D" w14:textId="77777777" w:rsidR="00776A48" w:rsidRDefault="00776A48" w:rsidP="007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BB1E" w14:textId="65088AFA" w:rsidR="00776A48" w:rsidRDefault="00776A48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79E6ECD3" wp14:editId="5136AB98">
          <wp:simplePos x="0" y="0"/>
          <wp:positionH relativeFrom="page">
            <wp:posOffset>4761230</wp:posOffset>
          </wp:positionH>
          <wp:positionV relativeFrom="page">
            <wp:posOffset>10220325</wp:posOffset>
          </wp:positionV>
          <wp:extent cx="2821940" cy="283210"/>
          <wp:effectExtent l="0" t="0" r="0" b="0"/>
          <wp:wrapSquare wrapText="bothSides"/>
          <wp:docPr id="1795095515" name="Imagen 1795095515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207CD5A" wp14:editId="7B54248C">
          <wp:simplePos x="0" y="0"/>
          <wp:positionH relativeFrom="margin">
            <wp:posOffset>4895471</wp:posOffset>
          </wp:positionH>
          <wp:positionV relativeFrom="page">
            <wp:posOffset>9858284</wp:posOffset>
          </wp:positionV>
          <wp:extent cx="564515" cy="564515"/>
          <wp:effectExtent l="0" t="0" r="6985" b="0"/>
          <wp:wrapSquare wrapText="bothSides"/>
          <wp:docPr id="1622258836" name="Imagen 162225883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C275" w14:textId="77777777" w:rsidR="00776A48" w:rsidRDefault="00776A48" w:rsidP="00776A48">
      <w:pPr>
        <w:spacing w:after="0" w:line="240" w:lineRule="auto"/>
      </w:pPr>
      <w:r>
        <w:separator/>
      </w:r>
    </w:p>
  </w:footnote>
  <w:footnote w:type="continuationSeparator" w:id="0">
    <w:p w14:paraId="4489FD69" w14:textId="77777777" w:rsidR="00776A48" w:rsidRDefault="00776A48" w:rsidP="0077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2328D"/>
    <w:rsid w:val="000329F8"/>
    <w:rsid w:val="000339A8"/>
    <w:rsid w:val="00080DF3"/>
    <w:rsid w:val="0009598A"/>
    <w:rsid w:val="000A07CF"/>
    <w:rsid w:val="000C11B8"/>
    <w:rsid w:val="000C26A5"/>
    <w:rsid w:val="000C5280"/>
    <w:rsid w:val="000D4E3B"/>
    <w:rsid w:val="000E4385"/>
    <w:rsid w:val="000F27C8"/>
    <w:rsid w:val="001816CF"/>
    <w:rsid w:val="00191DB0"/>
    <w:rsid w:val="001B08C1"/>
    <w:rsid w:val="001D4231"/>
    <w:rsid w:val="001D720F"/>
    <w:rsid w:val="001F6BA8"/>
    <w:rsid w:val="00217F0E"/>
    <w:rsid w:val="0025628F"/>
    <w:rsid w:val="002607AF"/>
    <w:rsid w:val="00261FF3"/>
    <w:rsid w:val="00265207"/>
    <w:rsid w:val="00273104"/>
    <w:rsid w:val="0027422C"/>
    <w:rsid w:val="002B5E52"/>
    <w:rsid w:val="002B7E7B"/>
    <w:rsid w:val="002E39D4"/>
    <w:rsid w:val="002F4E42"/>
    <w:rsid w:val="002F60D9"/>
    <w:rsid w:val="002F638F"/>
    <w:rsid w:val="00302241"/>
    <w:rsid w:val="0031099C"/>
    <w:rsid w:val="00320440"/>
    <w:rsid w:val="00342705"/>
    <w:rsid w:val="003606E0"/>
    <w:rsid w:val="003812FE"/>
    <w:rsid w:val="0038560A"/>
    <w:rsid w:val="003A014A"/>
    <w:rsid w:val="003A603B"/>
    <w:rsid w:val="003B008F"/>
    <w:rsid w:val="003C306A"/>
    <w:rsid w:val="00430553"/>
    <w:rsid w:val="00460954"/>
    <w:rsid w:val="00461327"/>
    <w:rsid w:val="004A19C0"/>
    <w:rsid w:val="004A63F0"/>
    <w:rsid w:val="004C4B07"/>
    <w:rsid w:val="004D2073"/>
    <w:rsid w:val="004E3A3B"/>
    <w:rsid w:val="004F41D8"/>
    <w:rsid w:val="00502AEB"/>
    <w:rsid w:val="00522E19"/>
    <w:rsid w:val="00523A10"/>
    <w:rsid w:val="00525627"/>
    <w:rsid w:val="00533976"/>
    <w:rsid w:val="00542D4B"/>
    <w:rsid w:val="00561D44"/>
    <w:rsid w:val="005904E6"/>
    <w:rsid w:val="0059219C"/>
    <w:rsid w:val="005A1C97"/>
    <w:rsid w:val="005A5B8F"/>
    <w:rsid w:val="005B1204"/>
    <w:rsid w:val="005B18FB"/>
    <w:rsid w:val="005B200C"/>
    <w:rsid w:val="005B524E"/>
    <w:rsid w:val="005B559F"/>
    <w:rsid w:val="005C1F51"/>
    <w:rsid w:val="005D6A45"/>
    <w:rsid w:val="005E1AAD"/>
    <w:rsid w:val="005E66F3"/>
    <w:rsid w:val="005F3B25"/>
    <w:rsid w:val="005F41B9"/>
    <w:rsid w:val="0063795F"/>
    <w:rsid w:val="006534F4"/>
    <w:rsid w:val="006560CE"/>
    <w:rsid w:val="00675A67"/>
    <w:rsid w:val="006767AB"/>
    <w:rsid w:val="0068105D"/>
    <w:rsid w:val="006B704C"/>
    <w:rsid w:val="006C5A89"/>
    <w:rsid w:val="006E09C9"/>
    <w:rsid w:val="006F226F"/>
    <w:rsid w:val="006F6D75"/>
    <w:rsid w:val="007128B9"/>
    <w:rsid w:val="00752FE6"/>
    <w:rsid w:val="00757D55"/>
    <w:rsid w:val="00776A48"/>
    <w:rsid w:val="007809D4"/>
    <w:rsid w:val="007A2B62"/>
    <w:rsid w:val="007D3BAB"/>
    <w:rsid w:val="007E156C"/>
    <w:rsid w:val="007E7FFA"/>
    <w:rsid w:val="007F76E8"/>
    <w:rsid w:val="008079C0"/>
    <w:rsid w:val="00813131"/>
    <w:rsid w:val="00815005"/>
    <w:rsid w:val="0083255A"/>
    <w:rsid w:val="0084125A"/>
    <w:rsid w:val="008518B4"/>
    <w:rsid w:val="0086034E"/>
    <w:rsid w:val="00874179"/>
    <w:rsid w:val="00886785"/>
    <w:rsid w:val="008A2F4D"/>
    <w:rsid w:val="008B1A76"/>
    <w:rsid w:val="008D2C82"/>
    <w:rsid w:val="008D62EA"/>
    <w:rsid w:val="008E200C"/>
    <w:rsid w:val="008F6DDD"/>
    <w:rsid w:val="00922CC7"/>
    <w:rsid w:val="00924E3F"/>
    <w:rsid w:val="00930186"/>
    <w:rsid w:val="00941767"/>
    <w:rsid w:val="00944307"/>
    <w:rsid w:val="00950C82"/>
    <w:rsid w:val="009604BD"/>
    <w:rsid w:val="009614BD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9F4777"/>
    <w:rsid w:val="00A250A0"/>
    <w:rsid w:val="00A256FC"/>
    <w:rsid w:val="00A4352C"/>
    <w:rsid w:val="00A75273"/>
    <w:rsid w:val="00A77B66"/>
    <w:rsid w:val="00AA3FAC"/>
    <w:rsid w:val="00AE296A"/>
    <w:rsid w:val="00B25D6D"/>
    <w:rsid w:val="00B532B6"/>
    <w:rsid w:val="00B56902"/>
    <w:rsid w:val="00B707E6"/>
    <w:rsid w:val="00BB3491"/>
    <w:rsid w:val="00BB4FE0"/>
    <w:rsid w:val="00BE1D31"/>
    <w:rsid w:val="00BE7157"/>
    <w:rsid w:val="00BF73DA"/>
    <w:rsid w:val="00C03746"/>
    <w:rsid w:val="00C0445A"/>
    <w:rsid w:val="00C12D2F"/>
    <w:rsid w:val="00C2078F"/>
    <w:rsid w:val="00C21E0C"/>
    <w:rsid w:val="00C35C77"/>
    <w:rsid w:val="00C518A4"/>
    <w:rsid w:val="00C53799"/>
    <w:rsid w:val="00C7055F"/>
    <w:rsid w:val="00C80AC5"/>
    <w:rsid w:val="00C84B21"/>
    <w:rsid w:val="00C964C5"/>
    <w:rsid w:val="00CB05F9"/>
    <w:rsid w:val="00CC2A8B"/>
    <w:rsid w:val="00CD150E"/>
    <w:rsid w:val="00CE6FCB"/>
    <w:rsid w:val="00CF032E"/>
    <w:rsid w:val="00D24DB1"/>
    <w:rsid w:val="00D32AA5"/>
    <w:rsid w:val="00D5323D"/>
    <w:rsid w:val="00D60BE0"/>
    <w:rsid w:val="00D81DCD"/>
    <w:rsid w:val="00D923BB"/>
    <w:rsid w:val="00DB6DB9"/>
    <w:rsid w:val="00DC7480"/>
    <w:rsid w:val="00DE1797"/>
    <w:rsid w:val="00DE517D"/>
    <w:rsid w:val="00DF3C9F"/>
    <w:rsid w:val="00E05A5E"/>
    <w:rsid w:val="00E15ABC"/>
    <w:rsid w:val="00E2014A"/>
    <w:rsid w:val="00E23796"/>
    <w:rsid w:val="00E23B8B"/>
    <w:rsid w:val="00E62A3B"/>
    <w:rsid w:val="00E92DD9"/>
    <w:rsid w:val="00EA0300"/>
    <w:rsid w:val="00EA4F6A"/>
    <w:rsid w:val="00EA7F5F"/>
    <w:rsid w:val="00EC29CF"/>
    <w:rsid w:val="00EC4316"/>
    <w:rsid w:val="00EC4459"/>
    <w:rsid w:val="00ED0A3A"/>
    <w:rsid w:val="00ED0F8C"/>
    <w:rsid w:val="00F00D6C"/>
    <w:rsid w:val="00F1542C"/>
    <w:rsid w:val="00F17E6A"/>
    <w:rsid w:val="00F3050C"/>
    <w:rsid w:val="00F3543F"/>
    <w:rsid w:val="00F44526"/>
    <w:rsid w:val="00F57884"/>
    <w:rsid w:val="00F61B94"/>
    <w:rsid w:val="00F8252F"/>
    <w:rsid w:val="00F97BC8"/>
    <w:rsid w:val="00FB13FA"/>
    <w:rsid w:val="00FC531E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A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A8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7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A48"/>
  </w:style>
  <w:style w:type="paragraph" w:styleId="Piedepgina">
    <w:name w:val="footer"/>
    <w:basedOn w:val="Normal"/>
    <w:link w:val="PiedepginaCar"/>
    <w:uiPriority w:val="99"/>
    <w:unhideWhenUsed/>
    <w:rsid w:val="0077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84A6671C49246937E30A246C70B87" ma:contentTypeVersion="2" ma:contentTypeDescription="Create a new document." ma:contentTypeScope="" ma:versionID="60e805680b0605526ca638c6c5a58a4f">
  <xsd:schema xmlns:xsd="http://www.w3.org/2001/XMLSchema" xmlns:xs="http://www.w3.org/2001/XMLSchema" xmlns:p="http://schemas.microsoft.com/office/2006/metadata/properties" xmlns:ns3="4dea0919-959c-4b08-9261-805dc9a30b2b" targetNamespace="http://schemas.microsoft.com/office/2006/metadata/properties" ma:root="true" ma:fieldsID="d78029946e45f78ac416733bbce76758" ns3:_="">
    <xsd:import namespace="4dea0919-959c-4b08-9261-805dc9a30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0919-959c-4b08-9261-805dc9a30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FDDE7-7CE6-4457-A194-3B8840E22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D81E8-CEC7-4851-B03D-DF771F43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a0919-959c-4b08-9261-805dc9a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90943-98A4-40DE-BD4D-A0512B75786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dea0919-959c-4b08-9261-805dc9a30b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David Alegrete Bernal</cp:lastModifiedBy>
  <cp:revision>8</cp:revision>
  <cp:lastPrinted>2023-07-05T16:46:00Z</cp:lastPrinted>
  <dcterms:created xsi:type="dcterms:W3CDTF">2023-07-04T16:56:00Z</dcterms:created>
  <dcterms:modified xsi:type="dcterms:W3CDTF">2023-07-06T14:05:00Z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0x0101007AD84A6671C49246937E30A246C70B87</vt:lpwstr>
  </property>
</Properties>
</file>