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0C98" w14:textId="77777777" w:rsidR="00A870FE" w:rsidRDefault="00A870FE" w:rsidP="004B1428">
      <w:pPr>
        <w:spacing w:after="0" w:line="240" w:lineRule="auto"/>
        <w:ind w:right="-14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C6B67AB" wp14:editId="228CF0F3">
            <wp:simplePos x="0" y="0"/>
            <wp:positionH relativeFrom="page">
              <wp:posOffset>4015740</wp:posOffset>
            </wp:positionH>
            <wp:positionV relativeFrom="margin">
              <wp:posOffset>-173990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DA7A2" w14:textId="75ED76E0" w:rsidR="005D2D22" w:rsidRDefault="005D2D22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E62588" w14:textId="77777777" w:rsidR="00F56929" w:rsidRDefault="00F56929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83826B" w14:textId="77777777" w:rsidR="005A2E79" w:rsidRDefault="005A2E79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D25435" w14:textId="0CE63F73" w:rsidR="00A870FE" w:rsidRPr="00537930" w:rsidRDefault="00A870FE" w:rsidP="004B1428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57A9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57A9C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9550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93DF3">
        <w:rPr>
          <w:rFonts w:ascii="Arial" w:eastAsia="Times New Roman" w:hAnsi="Arial" w:cs="Arial"/>
          <w:sz w:val="24"/>
          <w:szCs w:val="24"/>
          <w:lang w:eastAsia="es-ES"/>
        </w:rPr>
        <w:t>de 2023</w:t>
      </w:r>
    </w:p>
    <w:p w14:paraId="3EABEE84" w14:textId="77777777" w:rsidR="00C13B05" w:rsidRDefault="00C13B05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0D3C9FA" w14:textId="663970D0" w:rsidR="00C13B05" w:rsidRPr="00785AE6" w:rsidRDefault="00A870F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‘Reacción en cadena’</w:t>
      </w:r>
      <w:r w:rsidR="0095502D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B3A8F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celebra</w:t>
      </w:r>
      <w:r w:rsidR="00A40E42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B3A8F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sus primer</w:t>
      </w:r>
      <w:r w:rsidR="00FD31B0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</w:t>
      </w:r>
      <w:r w:rsidR="00BB3A8F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 </w:t>
      </w:r>
      <w:r w:rsidR="0095502D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100 </w:t>
      </w:r>
      <w:r w:rsidR="00FD31B0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emisiones </w:t>
      </w:r>
      <w:r w:rsidR="00A40E42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Telecinco con la </w:t>
      </w:r>
      <w:r w:rsidR="00844541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entrega </w:t>
      </w:r>
      <w:r w:rsidR="00A40E42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de </w:t>
      </w:r>
      <w:r w:rsidR="00844541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 premio más alto</w:t>
      </w:r>
      <w:r w:rsidR="007818EF" w:rsidRPr="00785A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hasta la fecha</w:t>
      </w:r>
    </w:p>
    <w:p w14:paraId="461DA40D" w14:textId="7A2B61C2" w:rsidR="00250491" w:rsidRPr="002E73A3" w:rsidRDefault="00250491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F71992" w14:textId="19D7B4FA" w:rsidR="00FD31B0" w:rsidRDefault="009E35AC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FD31B0">
        <w:rPr>
          <w:rFonts w:ascii="Arial" w:eastAsia="Times New Roman" w:hAnsi="Arial" w:cs="Arial"/>
          <w:b/>
          <w:sz w:val="24"/>
          <w:szCs w:val="24"/>
          <w:lang w:eastAsia="es-ES"/>
        </w:rPr>
        <w:t>ste viernes 5 de mayo</w:t>
      </w:r>
      <w:r w:rsidR="00F07A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D641E">
        <w:rPr>
          <w:rFonts w:ascii="Arial" w:eastAsia="Times New Roman" w:hAnsi="Arial" w:cs="Arial"/>
          <w:b/>
          <w:sz w:val="24"/>
          <w:szCs w:val="24"/>
          <w:lang w:eastAsia="es-ES"/>
        </w:rPr>
        <w:t>(20:00h)</w:t>
      </w:r>
      <w:r w:rsidR="008A455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D64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F07A13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frente</w:t>
      </w:r>
      <w:r w:rsidR="00FD31B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A5BD961" w14:textId="77777777" w:rsidR="00FD31B0" w:rsidRDefault="00FD31B0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346BD0" w14:textId="077D5275" w:rsidR="002F086E" w:rsidRDefault="00A40E42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300 cadenas de palabras resueltas y más de 500.000€ en premios repartidos hasta </w:t>
      </w:r>
      <w:r w:rsidR="00FD64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momento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los 103 equipos participantes 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>son algunas de las cifras que resumen la trayectoria del concurso, que contin</w:t>
      </w:r>
      <w:r w:rsidR="00FB4944">
        <w:rPr>
          <w:rFonts w:ascii="Arial" w:eastAsia="Times New Roman" w:hAnsi="Arial" w:cs="Arial"/>
          <w:b/>
          <w:sz w:val="24"/>
          <w:szCs w:val="24"/>
          <w:lang w:eastAsia="es-ES"/>
        </w:rPr>
        <w:t>ú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poniendo </w:t>
      </w:r>
      <w:r w:rsidR="00FB4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cada día 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juego un premio </w:t>
      </w:r>
      <w:r w:rsidR="00FB4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máximo </w:t>
      </w:r>
      <w:r w:rsidR="00BB3A8F">
        <w:rPr>
          <w:rFonts w:ascii="Arial" w:eastAsia="Times New Roman" w:hAnsi="Arial" w:cs="Arial"/>
          <w:b/>
          <w:sz w:val="24"/>
          <w:szCs w:val="24"/>
          <w:lang w:eastAsia="es-ES"/>
        </w:rPr>
        <w:t>de 150.000€.</w:t>
      </w:r>
    </w:p>
    <w:p w14:paraId="730AC014" w14:textId="77777777" w:rsidR="002F086E" w:rsidRDefault="002F086E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A8FEE4" w14:textId="0FC182A0" w:rsidR="00622D5B" w:rsidRDefault="00911F82" w:rsidP="004B1428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‘Reacción en cadena’ destaca por su seguimiento entre los públicos </w:t>
      </w:r>
      <w:r w:rsidR="00416D40">
        <w:rPr>
          <w:rFonts w:ascii="Arial" w:eastAsia="Times New Roman" w:hAnsi="Arial" w:cs="Arial"/>
          <w:b/>
          <w:sz w:val="24"/>
          <w:szCs w:val="24"/>
          <w:lang w:eastAsia="es-ES"/>
        </w:rPr>
        <w:t>cualitativos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atractivos con un </w:t>
      </w:r>
      <w:r w:rsidR="00407DB1" w:rsidRPr="00407DB1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Pr="00407D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7DB1" w:rsidRPr="00407DB1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07DB1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</w:t>
      </w:r>
      <w:r w:rsidRPr="00A35CF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y un </w:t>
      </w:r>
      <w:r w:rsidR="00407DB1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Pr="00407D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407DB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entre los espectadores de </w:t>
      </w:r>
      <w:r w:rsidR="00A35CF3">
        <w:rPr>
          <w:rFonts w:ascii="Arial" w:eastAsia="Times New Roman" w:hAnsi="Arial" w:cs="Arial"/>
          <w:b/>
          <w:sz w:val="24"/>
          <w:szCs w:val="24"/>
          <w:lang w:eastAsia="es-ES"/>
        </w:rPr>
        <w:t>25-44 años</w:t>
      </w:r>
      <w:r w:rsidR="00B502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su estreno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B502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8A455C">
        <w:rPr>
          <w:rFonts w:ascii="Arial" w:eastAsia="Times New Roman" w:hAnsi="Arial" w:cs="Arial"/>
          <w:b/>
          <w:sz w:val="24"/>
          <w:szCs w:val="24"/>
          <w:lang w:eastAsia="es-ES"/>
        </w:rPr>
        <w:t>sintonía</w:t>
      </w:r>
      <w:r w:rsidR="005046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45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A35CF3">
        <w:rPr>
          <w:rFonts w:ascii="Arial" w:eastAsia="Times New Roman" w:hAnsi="Arial" w:cs="Arial"/>
          <w:b/>
          <w:sz w:val="24"/>
          <w:szCs w:val="24"/>
          <w:lang w:eastAsia="es-ES"/>
        </w:rPr>
        <w:t>los jóvenes</w:t>
      </w:r>
      <w:r w:rsidR="00DD25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traslada </w:t>
      </w:r>
      <w:r w:rsidR="00407D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</w:t>
      </w:r>
      <w:r w:rsidR="00DD25C2">
        <w:rPr>
          <w:rFonts w:ascii="Arial" w:eastAsia="Times New Roman" w:hAnsi="Arial" w:cs="Arial"/>
          <w:b/>
          <w:sz w:val="24"/>
          <w:szCs w:val="24"/>
          <w:lang w:eastAsia="es-ES"/>
        </w:rPr>
        <w:t>a las redes sociales, donde acumula una media de casi 500.000 reproducciones de sus vídeos en</w:t>
      </w:r>
      <w:r w:rsidR="00A35C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571FF">
        <w:rPr>
          <w:rFonts w:ascii="Arial" w:eastAsia="Times New Roman" w:hAnsi="Arial" w:cs="Arial"/>
          <w:b/>
          <w:sz w:val="24"/>
          <w:szCs w:val="24"/>
          <w:lang w:eastAsia="es-ES"/>
        </w:rPr>
        <w:t>TikTok.</w:t>
      </w:r>
    </w:p>
    <w:p w14:paraId="17219408" w14:textId="77777777" w:rsidR="0009104B" w:rsidRPr="007C094B" w:rsidRDefault="0009104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42"/>
          <w:szCs w:val="42"/>
          <w:lang w:eastAsia="es-ES"/>
        </w:rPr>
      </w:pPr>
    </w:p>
    <w:p w14:paraId="38602C96" w14:textId="79473F87" w:rsidR="005A6169" w:rsidRPr="009E531D" w:rsidRDefault="00F7424B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‘Reacción en cadena’</w:t>
      </w:r>
      <w:r w:rsidR="00B5028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580AD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está a punto de convertirse en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centenario</w:t>
      </w:r>
      <w:r w:rsidR="009E35AC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9E35AC" w:rsidRPr="009E35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</w:t>
      </w:r>
      <w:r w:rsidR="009E53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 concurso </w:t>
      </w:r>
      <w:r w:rsidR="00580A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presentado por</w:t>
      </w:r>
      <w:r w:rsidR="009E531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E531D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Ion Aramendi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</w:t>
      </w:r>
      <w:r w:rsidR="00157A19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Telecinco</w:t>
      </w:r>
      <w:r w:rsidR="00580AD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(20:00 horas)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alcanza</w:t>
      </w:r>
      <w:r w:rsidR="009E35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rá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31595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este </w:t>
      </w:r>
      <w:r w:rsidR="00315958" w:rsidRPr="00E573B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viernes</w:t>
      </w:r>
      <w:r w:rsidR="00B5028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157A19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5 de mayo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E35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sus primeras </w:t>
      </w:r>
      <w:r w:rsidR="00157A19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100 emisiones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E35A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 cadena </w:t>
      </w:r>
      <w:r w:rsidR="00C32B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</w:t>
      </w:r>
      <w:r w:rsidR="0034099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edición</w:t>
      </w:r>
      <w:r w:rsidR="003F218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157A1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 que, además, uno de los equipos participantes se alzará </w:t>
      </w:r>
      <w:r w:rsidR="000F56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="000F5687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</w:t>
      </w:r>
      <w:r w:rsidR="000F568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F5687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premio más alto </w:t>
      </w:r>
      <w:r w:rsidR="0034099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entregado por el concurso</w:t>
      </w:r>
      <w:r w:rsidR="003F218E" w:rsidRPr="00C32B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hasta la fecha</w:t>
      </w:r>
      <w:r w:rsidR="003F218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CF58398" w14:textId="77777777" w:rsidR="005A6169" w:rsidRDefault="005A6169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</w:p>
    <w:p w14:paraId="301F4B93" w14:textId="2EDC4805" w:rsidR="00BF3610" w:rsidRDefault="00D55F5C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Desde su estreno,</w:t>
      </w:r>
      <w:r w:rsidR="00B5028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</w:t>
      </w:r>
      <w:r w:rsidR="007E34D7" w:rsidRPr="007E34D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 </w:t>
      </w:r>
      <w:r w:rsidR="007E34D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formato producido en colaboración con Bulldog TV</w:t>
      </w:r>
      <w:r w:rsidR="00B5028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 </w:t>
      </w:r>
      <w:r w:rsidR="007E34D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entregado </w:t>
      </w:r>
      <w:r w:rsidR="007E34D7" w:rsidRPr="00C52E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más de 500.000€ </w:t>
      </w:r>
      <w:r w:rsidR="00C52EF0" w:rsidRPr="00C52E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entre</w:t>
      </w:r>
      <w:r w:rsidR="003464DA" w:rsidRPr="00C52E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sus 103 equipos participantes</w:t>
      </w:r>
      <w:r w:rsidR="00E927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</w:t>
      </w:r>
      <w:r w:rsidR="00E9279B" w:rsidRPr="00C52E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han resuelto un total del</w:t>
      </w:r>
      <w:r w:rsidR="00E927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9279B" w:rsidRPr="00C52E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300 cadenas de palabras</w:t>
      </w:r>
      <w:r w:rsidR="00E927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se han enfrentado en 100 ocasiones a</w:t>
      </w:r>
      <w:r w:rsidR="005626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 decisivo juego </w:t>
      </w:r>
      <w:r w:rsidR="00E927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</w:t>
      </w:r>
      <w:r w:rsidR="00E9279B" w:rsidRPr="00C52EF0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‘La última palabra’</w:t>
      </w:r>
      <w:r w:rsidR="00E9279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7858A763" w14:textId="77777777" w:rsidR="00BF3610" w:rsidRDefault="00BF3610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28E6812" w14:textId="53C3AAE0" w:rsidR="00A64076" w:rsidRPr="00A64076" w:rsidRDefault="00C52EF0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Esta prueba, a la que solo llega </w:t>
      </w:r>
      <w:r w:rsidR="005626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cada día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equipo </w:t>
      </w:r>
      <w:r w:rsidR="00BF36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ganador de ‘Complicidad ganadora’</w:t>
      </w:r>
      <w:r w:rsidR="006300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E2222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convertid</w:t>
      </w:r>
      <w:r w:rsidR="002308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 </w:t>
      </w:r>
      <w:r w:rsidR="00E2222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uno de los retos más populares</w:t>
      </w:r>
      <w:r w:rsidR="006300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2222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la mecánica del concurso, </w:t>
      </w:r>
      <w:r w:rsidR="006300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llevará </w:t>
      </w:r>
      <w:r w:rsidR="005626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este viernes </w:t>
      </w:r>
      <w:r w:rsidR="006300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uno de los dos </w:t>
      </w:r>
      <w:r w:rsidR="0023084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contendientes </w:t>
      </w:r>
      <w:r w:rsidR="006300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 conseguir la cifra más elevada</w:t>
      </w:r>
      <w:r w:rsidR="00F54B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entregada por el concurso</w:t>
      </w:r>
      <w:r w:rsidR="0063001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14:paraId="139C20AE" w14:textId="77777777" w:rsidR="00410837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</w:p>
    <w:p w14:paraId="15264240" w14:textId="0C3A9A45" w:rsidR="00A64076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‘Cocolocos’, mejor equipo de los 100 primeros programas</w:t>
      </w:r>
    </w:p>
    <w:p w14:paraId="65D874F1" w14:textId="77777777" w:rsidR="00410837" w:rsidRDefault="00410837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BD3394C" w14:textId="7ECF0350" w:rsidR="00C40664" w:rsidRPr="006B243A" w:rsidRDefault="00B173F8" w:rsidP="00C4066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Pr="00F54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101.047€ acumulados </w:t>
      </w:r>
      <w:r w:rsidRPr="00F54B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los</w:t>
      </w:r>
      <w:r w:rsidRPr="00F54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18 programas </w:t>
      </w:r>
      <w:r w:rsidRPr="00F54B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los que han participado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581482" w:rsidRPr="00F54B7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‘Cocolocos’</w:t>
      </w:r>
      <w:r w:rsidR="005814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 el </w:t>
      </w:r>
      <w:r w:rsidR="00581482" w:rsidRPr="00FD57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mejor equipo</w:t>
      </w:r>
      <w:r w:rsidR="005814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ha pasado por ‘Reacción en cadena’ </w:t>
      </w:r>
      <w:r w:rsidR="002F2EE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hasta el momento</w:t>
      </w:r>
      <w:r w:rsidR="00F54B7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  <w:r w:rsidR="00995AF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6C561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concurso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(7,4% y 8</w:t>
      </w:r>
      <w:r w:rsidR="004B094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29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.000) destaca por su consumo entre los </w:t>
      </w:r>
      <w:r w:rsidR="00C40664"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públicos </w:t>
      </w:r>
      <w:r w:rsidR="004C5C3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cualitativos </w:t>
      </w:r>
      <w:r w:rsidR="00C40664"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más atractivos</w:t>
      </w:r>
      <w:r w:rsidR="004C5C33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="004C5C33" w:rsidRPr="004C5C3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para los anunciantes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acumula desde su 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 xml:space="preserve">estreno un </w:t>
      </w:r>
      <w:r w:rsidR="00C40664"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10,4% en el </w:t>
      </w:r>
      <w:r w:rsidR="00C40664" w:rsidRPr="006B243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target </w:t>
      </w:r>
      <w:r w:rsidR="00C40664"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comercial</w:t>
      </w:r>
      <w:r w:rsidR="00D2309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</w:t>
      </w:r>
      <w:r w:rsidR="00C40664"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10,5% entre los espectadores de 25-44 años</w:t>
      </w:r>
      <w:r w:rsidR="00D2309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un 10% entre los de </w:t>
      </w:r>
      <w:r w:rsidR="00E0021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45-54 años.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Desde su estreno el pasado mes de diciembre, más de 21,</w:t>
      </w:r>
      <w:r w:rsidR="004B094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9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millones de personas han conectado en algún momento con el concurso, el 47,</w:t>
      </w:r>
      <w:r w:rsidR="004B094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5</w:t>
      </w:r>
      <w:r w:rsidR="00C40664"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% de la población.</w:t>
      </w:r>
    </w:p>
    <w:p w14:paraId="3149FD8A" w14:textId="77777777" w:rsidR="00C40664" w:rsidRPr="006B243A" w:rsidRDefault="00C40664" w:rsidP="00C4066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E90644E" w14:textId="34BF7FC8" w:rsidR="00C40664" w:rsidRPr="006B243A" w:rsidRDefault="00C40664" w:rsidP="00C40664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Además, la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divertida </w:t>
      </w:r>
      <w:r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mecánica del concurso,</w:t>
      </w:r>
      <w:r w:rsidR="00B5028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centrada especialmente en </w:t>
      </w:r>
      <w:r w:rsidR="00B50286" w:rsidRPr="001C117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resolver diferentes cadenas de palabras con algún vínculo entre sí</w:t>
      </w:r>
      <w:r w:rsidR="00B50286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que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incluye juegos musicales</w:t>
      </w:r>
      <w:r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conecta especialmente con el </w:t>
      </w:r>
      <w:r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público joven activo en redes sociales</w:t>
      </w:r>
      <w:r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con una media de </w:t>
      </w:r>
      <w:r w:rsidRPr="006B243A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casi 500.000 reproducciones </w:t>
      </w:r>
      <w:r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el casi centenar de vídeos subidos a </w:t>
      </w:r>
      <w:hyperlink r:id="rId8" w:history="1">
        <w:r w:rsidRPr="006B243A">
          <w:rPr>
            <w:rStyle w:val="Hipervnculo"/>
            <w:rFonts w:ascii="Arial" w:eastAsia="Times New Roman" w:hAnsi="Arial" w:cs="Arial"/>
            <w:b/>
            <w:iCs/>
            <w:sz w:val="24"/>
            <w:szCs w:val="24"/>
            <w:lang w:eastAsia="es-ES"/>
          </w:rPr>
          <w:t>TikTok</w:t>
        </w:r>
      </w:hyperlink>
      <w:r w:rsidRPr="006B24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14:paraId="40603BEE" w14:textId="046507FD" w:rsidR="00581482" w:rsidRDefault="00581482" w:rsidP="004B1428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E7A9149" w14:textId="7BF5D21A" w:rsidR="00995AFE" w:rsidRDefault="00995AFE" w:rsidP="009311B7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‘Reacción en cadena’, adaptación española del concurso de éxito internacional ‘Chain Reaction’ -formato estrenado en 1980 en la cadena NBC y distribuido por Sony Pictures Television-, dos equipos </w:t>
      </w:r>
      <w:r w:rsidR="009311B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formado</w:t>
      </w:r>
      <w:r w:rsidR="00682CE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</w:t>
      </w:r>
      <w:r w:rsidR="009311B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 tres participantes a los que les une algún tipo de relación </w:t>
      </w:r>
      <w:r w:rsidR="00D55F5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compiten</w:t>
      </w:r>
      <w:r w:rsidR="00436121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través de las cadenas de palabras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D55F5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para t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ratar de hacerse con el </w:t>
      </w:r>
      <w:r w:rsidRPr="001C1176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premio diario máximo de 150.000 euros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F246E11" w14:textId="77777777" w:rsidR="00995AFE" w:rsidRDefault="00995AFE" w:rsidP="000D008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39F6621" w14:textId="0A8B53E0" w:rsidR="00995AFE" w:rsidRDefault="00995AFE" w:rsidP="000D0086">
      <w:pPr>
        <w:shd w:val="clear" w:color="auto" w:fill="FFFFFF"/>
        <w:spacing w:after="0" w:line="240" w:lineRule="auto"/>
        <w:ind w:right="-143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Estos dos equipos deben superar en una primera fase cinco juegos relacionando palabras, adivinando personajes o descubriendo canciones. A continuación, compiten en ‘Complicidad ganadora’, un juego decisivo y eliminatorio cuyos ganadores obtienen el derecho a participar en la siguiente entrega y</w:t>
      </w:r>
      <w:r w:rsidR="00D55F5C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pueden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luchar en la fase final por llevarse el dinero que hayan acumulado.</w:t>
      </w:r>
    </w:p>
    <w:sectPr w:rsidR="00995AFE" w:rsidSect="008B6193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961E" w14:textId="77777777" w:rsidR="00E350D3" w:rsidRDefault="00293F92">
      <w:pPr>
        <w:spacing w:after="0" w:line="240" w:lineRule="auto"/>
      </w:pPr>
      <w:r>
        <w:separator/>
      </w:r>
    </w:p>
  </w:endnote>
  <w:endnote w:type="continuationSeparator" w:id="0">
    <w:p w14:paraId="2F86A8B9" w14:textId="77777777" w:rsidR="00E350D3" w:rsidRDefault="002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208BB" w14:textId="77777777" w:rsidR="007A401D" w:rsidRDefault="00AA082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CFD314C" wp14:editId="485914D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823DA0" wp14:editId="4B82E6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315BCD6" w14:textId="77777777" w:rsidR="007A401D" w:rsidRDefault="004B0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711" w14:textId="77777777" w:rsidR="00E350D3" w:rsidRDefault="00293F92">
      <w:pPr>
        <w:spacing w:after="0" w:line="240" w:lineRule="auto"/>
      </w:pPr>
      <w:r>
        <w:separator/>
      </w:r>
    </w:p>
  </w:footnote>
  <w:footnote w:type="continuationSeparator" w:id="0">
    <w:p w14:paraId="24C0D27D" w14:textId="77777777" w:rsidR="00E350D3" w:rsidRDefault="0029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3010E"/>
    <w:multiLevelType w:val="hybridMultilevel"/>
    <w:tmpl w:val="49D87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72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E"/>
    <w:rsid w:val="0000195D"/>
    <w:rsid w:val="0000200C"/>
    <w:rsid w:val="00010CD5"/>
    <w:rsid w:val="00012C07"/>
    <w:rsid w:val="000214B7"/>
    <w:rsid w:val="00031649"/>
    <w:rsid w:val="00036E4A"/>
    <w:rsid w:val="0004236A"/>
    <w:rsid w:val="00042A21"/>
    <w:rsid w:val="00062175"/>
    <w:rsid w:val="000739FC"/>
    <w:rsid w:val="00084E22"/>
    <w:rsid w:val="00090A49"/>
    <w:rsid w:val="0009104B"/>
    <w:rsid w:val="00096669"/>
    <w:rsid w:val="000A0555"/>
    <w:rsid w:val="000A74B5"/>
    <w:rsid w:val="000C1018"/>
    <w:rsid w:val="000C5D60"/>
    <w:rsid w:val="000D0086"/>
    <w:rsid w:val="000E4242"/>
    <w:rsid w:val="000E4EC1"/>
    <w:rsid w:val="000F5687"/>
    <w:rsid w:val="000F589B"/>
    <w:rsid w:val="000F5D2A"/>
    <w:rsid w:val="000F5E9C"/>
    <w:rsid w:val="000F6863"/>
    <w:rsid w:val="0010296C"/>
    <w:rsid w:val="001074BD"/>
    <w:rsid w:val="00114B10"/>
    <w:rsid w:val="00121706"/>
    <w:rsid w:val="00122A37"/>
    <w:rsid w:val="00135324"/>
    <w:rsid w:val="001405D6"/>
    <w:rsid w:val="00142C0E"/>
    <w:rsid w:val="00157A19"/>
    <w:rsid w:val="00160BF3"/>
    <w:rsid w:val="00164EA5"/>
    <w:rsid w:val="00171C00"/>
    <w:rsid w:val="00174564"/>
    <w:rsid w:val="001806F7"/>
    <w:rsid w:val="001824CB"/>
    <w:rsid w:val="001969AC"/>
    <w:rsid w:val="001C1176"/>
    <w:rsid w:val="001D07AE"/>
    <w:rsid w:val="001D2D4F"/>
    <w:rsid w:val="001E6217"/>
    <w:rsid w:val="001F44C4"/>
    <w:rsid w:val="001F56E2"/>
    <w:rsid w:val="00210956"/>
    <w:rsid w:val="002160A7"/>
    <w:rsid w:val="002225A2"/>
    <w:rsid w:val="00225BC1"/>
    <w:rsid w:val="00230844"/>
    <w:rsid w:val="00250491"/>
    <w:rsid w:val="00264190"/>
    <w:rsid w:val="002641FA"/>
    <w:rsid w:val="00283277"/>
    <w:rsid w:val="00293F92"/>
    <w:rsid w:val="002A039A"/>
    <w:rsid w:val="002A4B3D"/>
    <w:rsid w:val="002B715C"/>
    <w:rsid w:val="002E73A3"/>
    <w:rsid w:val="002F086E"/>
    <w:rsid w:val="002F2EE1"/>
    <w:rsid w:val="002F5062"/>
    <w:rsid w:val="00315958"/>
    <w:rsid w:val="00316D8D"/>
    <w:rsid w:val="003248B0"/>
    <w:rsid w:val="00325051"/>
    <w:rsid w:val="00337011"/>
    <w:rsid w:val="00337348"/>
    <w:rsid w:val="00337BB9"/>
    <w:rsid w:val="0034099D"/>
    <w:rsid w:val="0034116E"/>
    <w:rsid w:val="00343767"/>
    <w:rsid w:val="00346421"/>
    <w:rsid w:val="003464AB"/>
    <w:rsid w:val="003464DA"/>
    <w:rsid w:val="00351470"/>
    <w:rsid w:val="00363543"/>
    <w:rsid w:val="003802F1"/>
    <w:rsid w:val="003807FF"/>
    <w:rsid w:val="0039749B"/>
    <w:rsid w:val="003A3C89"/>
    <w:rsid w:val="003B45A7"/>
    <w:rsid w:val="003B5244"/>
    <w:rsid w:val="003D3383"/>
    <w:rsid w:val="003D66D0"/>
    <w:rsid w:val="003E1B96"/>
    <w:rsid w:val="003F218E"/>
    <w:rsid w:val="004041BB"/>
    <w:rsid w:val="00407DB1"/>
    <w:rsid w:val="00410837"/>
    <w:rsid w:val="00416D40"/>
    <w:rsid w:val="00436121"/>
    <w:rsid w:val="00451B32"/>
    <w:rsid w:val="0045218D"/>
    <w:rsid w:val="004665EF"/>
    <w:rsid w:val="004878B1"/>
    <w:rsid w:val="004947B2"/>
    <w:rsid w:val="004A4F0B"/>
    <w:rsid w:val="004A5F73"/>
    <w:rsid w:val="004B094F"/>
    <w:rsid w:val="004B1428"/>
    <w:rsid w:val="004B32F5"/>
    <w:rsid w:val="004C5C33"/>
    <w:rsid w:val="004D1241"/>
    <w:rsid w:val="004D30ED"/>
    <w:rsid w:val="004D35D4"/>
    <w:rsid w:val="004E10AC"/>
    <w:rsid w:val="00504602"/>
    <w:rsid w:val="00522171"/>
    <w:rsid w:val="005335C6"/>
    <w:rsid w:val="00544F90"/>
    <w:rsid w:val="00555A0C"/>
    <w:rsid w:val="00562378"/>
    <w:rsid w:val="0056262F"/>
    <w:rsid w:val="0057229E"/>
    <w:rsid w:val="00573A43"/>
    <w:rsid w:val="00580ADA"/>
    <w:rsid w:val="00581482"/>
    <w:rsid w:val="00594671"/>
    <w:rsid w:val="00595B7E"/>
    <w:rsid w:val="005A15B8"/>
    <w:rsid w:val="005A2E79"/>
    <w:rsid w:val="005A6169"/>
    <w:rsid w:val="005C2EAE"/>
    <w:rsid w:val="005C3FAF"/>
    <w:rsid w:val="005D25C2"/>
    <w:rsid w:val="005D2D22"/>
    <w:rsid w:val="005D535D"/>
    <w:rsid w:val="005F1477"/>
    <w:rsid w:val="006073B3"/>
    <w:rsid w:val="00622D5B"/>
    <w:rsid w:val="006251A7"/>
    <w:rsid w:val="006276C9"/>
    <w:rsid w:val="00630010"/>
    <w:rsid w:val="00630E09"/>
    <w:rsid w:val="00632C3D"/>
    <w:rsid w:val="00634AD8"/>
    <w:rsid w:val="00635410"/>
    <w:rsid w:val="00643845"/>
    <w:rsid w:val="00647D1A"/>
    <w:rsid w:val="00657DB4"/>
    <w:rsid w:val="006657B2"/>
    <w:rsid w:val="00674901"/>
    <w:rsid w:val="00680E4B"/>
    <w:rsid w:val="00682CE8"/>
    <w:rsid w:val="00684966"/>
    <w:rsid w:val="006B243A"/>
    <w:rsid w:val="006B572D"/>
    <w:rsid w:val="006B6BDD"/>
    <w:rsid w:val="006B7DDF"/>
    <w:rsid w:val="006C4A93"/>
    <w:rsid w:val="006C5612"/>
    <w:rsid w:val="006D5B07"/>
    <w:rsid w:val="006F6522"/>
    <w:rsid w:val="00715A23"/>
    <w:rsid w:val="00772C03"/>
    <w:rsid w:val="00773CDA"/>
    <w:rsid w:val="007749FB"/>
    <w:rsid w:val="007818EF"/>
    <w:rsid w:val="00784A15"/>
    <w:rsid w:val="00785AE6"/>
    <w:rsid w:val="0078799C"/>
    <w:rsid w:val="007967D5"/>
    <w:rsid w:val="007A056F"/>
    <w:rsid w:val="007B0213"/>
    <w:rsid w:val="007C094B"/>
    <w:rsid w:val="007C5821"/>
    <w:rsid w:val="007C7444"/>
    <w:rsid w:val="007D25E7"/>
    <w:rsid w:val="007D73A3"/>
    <w:rsid w:val="007E34D7"/>
    <w:rsid w:val="007F1EC7"/>
    <w:rsid w:val="007F702D"/>
    <w:rsid w:val="00812BEC"/>
    <w:rsid w:val="00831571"/>
    <w:rsid w:val="00836A4A"/>
    <w:rsid w:val="00844541"/>
    <w:rsid w:val="008546BC"/>
    <w:rsid w:val="008553D8"/>
    <w:rsid w:val="0086090F"/>
    <w:rsid w:val="00862E98"/>
    <w:rsid w:val="00871EA1"/>
    <w:rsid w:val="008831FE"/>
    <w:rsid w:val="00883BD4"/>
    <w:rsid w:val="00885EE5"/>
    <w:rsid w:val="00887DD6"/>
    <w:rsid w:val="00894B3E"/>
    <w:rsid w:val="00896D7D"/>
    <w:rsid w:val="008A455C"/>
    <w:rsid w:val="008B1BFA"/>
    <w:rsid w:val="008B49F3"/>
    <w:rsid w:val="008B6193"/>
    <w:rsid w:val="008B65F0"/>
    <w:rsid w:val="008C345E"/>
    <w:rsid w:val="008C5A04"/>
    <w:rsid w:val="008D1577"/>
    <w:rsid w:val="008E13E5"/>
    <w:rsid w:val="008E16B0"/>
    <w:rsid w:val="008E22ED"/>
    <w:rsid w:val="008E30A3"/>
    <w:rsid w:val="008F010D"/>
    <w:rsid w:val="008F5E1C"/>
    <w:rsid w:val="00911F82"/>
    <w:rsid w:val="009304C1"/>
    <w:rsid w:val="009311B7"/>
    <w:rsid w:val="00951250"/>
    <w:rsid w:val="009526C6"/>
    <w:rsid w:val="0095502D"/>
    <w:rsid w:val="00972650"/>
    <w:rsid w:val="00990B30"/>
    <w:rsid w:val="00995AFE"/>
    <w:rsid w:val="009A0AF1"/>
    <w:rsid w:val="009A0BBD"/>
    <w:rsid w:val="009A22FC"/>
    <w:rsid w:val="009A792F"/>
    <w:rsid w:val="009B4378"/>
    <w:rsid w:val="009B576B"/>
    <w:rsid w:val="009B5CCC"/>
    <w:rsid w:val="009C2006"/>
    <w:rsid w:val="009C3200"/>
    <w:rsid w:val="009C5DEA"/>
    <w:rsid w:val="009E08FF"/>
    <w:rsid w:val="009E35AC"/>
    <w:rsid w:val="009E531D"/>
    <w:rsid w:val="009E7633"/>
    <w:rsid w:val="009F1A07"/>
    <w:rsid w:val="009F27C5"/>
    <w:rsid w:val="009F7799"/>
    <w:rsid w:val="00A107C5"/>
    <w:rsid w:val="00A22C4F"/>
    <w:rsid w:val="00A277B2"/>
    <w:rsid w:val="00A35CF3"/>
    <w:rsid w:val="00A374E4"/>
    <w:rsid w:val="00A40386"/>
    <w:rsid w:val="00A40653"/>
    <w:rsid w:val="00A40E42"/>
    <w:rsid w:val="00A64076"/>
    <w:rsid w:val="00A7359C"/>
    <w:rsid w:val="00A75042"/>
    <w:rsid w:val="00A7717A"/>
    <w:rsid w:val="00A870FE"/>
    <w:rsid w:val="00A8758C"/>
    <w:rsid w:val="00AA0829"/>
    <w:rsid w:val="00AA3703"/>
    <w:rsid w:val="00AA3793"/>
    <w:rsid w:val="00AA6966"/>
    <w:rsid w:val="00AA7794"/>
    <w:rsid w:val="00AB6E42"/>
    <w:rsid w:val="00AC1052"/>
    <w:rsid w:val="00AF1A18"/>
    <w:rsid w:val="00B07310"/>
    <w:rsid w:val="00B12DC1"/>
    <w:rsid w:val="00B173F8"/>
    <w:rsid w:val="00B244E0"/>
    <w:rsid w:val="00B254DA"/>
    <w:rsid w:val="00B2551F"/>
    <w:rsid w:val="00B378B7"/>
    <w:rsid w:val="00B413B0"/>
    <w:rsid w:val="00B50286"/>
    <w:rsid w:val="00B51524"/>
    <w:rsid w:val="00B52161"/>
    <w:rsid w:val="00B569B0"/>
    <w:rsid w:val="00B57A9C"/>
    <w:rsid w:val="00B62330"/>
    <w:rsid w:val="00B63CF7"/>
    <w:rsid w:val="00B71A2C"/>
    <w:rsid w:val="00B8146D"/>
    <w:rsid w:val="00B83152"/>
    <w:rsid w:val="00B85F8E"/>
    <w:rsid w:val="00B8624C"/>
    <w:rsid w:val="00B92559"/>
    <w:rsid w:val="00B97E08"/>
    <w:rsid w:val="00BA00DC"/>
    <w:rsid w:val="00BA1239"/>
    <w:rsid w:val="00BB3924"/>
    <w:rsid w:val="00BB3A8F"/>
    <w:rsid w:val="00BC0708"/>
    <w:rsid w:val="00BD080B"/>
    <w:rsid w:val="00BE06D2"/>
    <w:rsid w:val="00BE7DAB"/>
    <w:rsid w:val="00BF3610"/>
    <w:rsid w:val="00BF3A12"/>
    <w:rsid w:val="00C11D9E"/>
    <w:rsid w:val="00C13B05"/>
    <w:rsid w:val="00C17612"/>
    <w:rsid w:val="00C210A0"/>
    <w:rsid w:val="00C32BA9"/>
    <w:rsid w:val="00C3540D"/>
    <w:rsid w:val="00C3671F"/>
    <w:rsid w:val="00C36B01"/>
    <w:rsid w:val="00C40664"/>
    <w:rsid w:val="00C4221C"/>
    <w:rsid w:val="00C451EE"/>
    <w:rsid w:val="00C52EF0"/>
    <w:rsid w:val="00C571FF"/>
    <w:rsid w:val="00C62859"/>
    <w:rsid w:val="00C644F7"/>
    <w:rsid w:val="00C718B8"/>
    <w:rsid w:val="00C768B1"/>
    <w:rsid w:val="00C90326"/>
    <w:rsid w:val="00CA3630"/>
    <w:rsid w:val="00CA3699"/>
    <w:rsid w:val="00CA3A72"/>
    <w:rsid w:val="00CB4055"/>
    <w:rsid w:val="00CC26B2"/>
    <w:rsid w:val="00CC44C0"/>
    <w:rsid w:val="00CC4B4E"/>
    <w:rsid w:val="00CC5BE2"/>
    <w:rsid w:val="00CD26DD"/>
    <w:rsid w:val="00CD63DF"/>
    <w:rsid w:val="00CF37C8"/>
    <w:rsid w:val="00D01CEF"/>
    <w:rsid w:val="00D23095"/>
    <w:rsid w:val="00D31E3A"/>
    <w:rsid w:val="00D324AB"/>
    <w:rsid w:val="00D332A8"/>
    <w:rsid w:val="00D477D8"/>
    <w:rsid w:val="00D47912"/>
    <w:rsid w:val="00D50ADC"/>
    <w:rsid w:val="00D55767"/>
    <w:rsid w:val="00D55F5C"/>
    <w:rsid w:val="00D666AA"/>
    <w:rsid w:val="00D73ACB"/>
    <w:rsid w:val="00D75813"/>
    <w:rsid w:val="00D766BF"/>
    <w:rsid w:val="00DA77E2"/>
    <w:rsid w:val="00DB496B"/>
    <w:rsid w:val="00DB4FFF"/>
    <w:rsid w:val="00DD25C2"/>
    <w:rsid w:val="00DD5CF4"/>
    <w:rsid w:val="00DE0EDE"/>
    <w:rsid w:val="00DF00A1"/>
    <w:rsid w:val="00DF35C9"/>
    <w:rsid w:val="00E00218"/>
    <w:rsid w:val="00E03948"/>
    <w:rsid w:val="00E078E5"/>
    <w:rsid w:val="00E10467"/>
    <w:rsid w:val="00E11D0B"/>
    <w:rsid w:val="00E11E50"/>
    <w:rsid w:val="00E2222B"/>
    <w:rsid w:val="00E33CE9"/>
    <w:rsid w:val="00E350D3"/>
    <w:rsid w:val="00E54A06"/>
    <w:rsid w:val="00E56832"/>
    <w:rsid w:val="00E573BF"/>
    <w:rsid w:val="00E62333"/>
    <w:rsid w:val="00E7399C"/>
    <w:rsid w:val="00E75F55"/>
    <w:rsid w:val="00E82143"/>
    <w:rsid w:val="00E84FB8"/>
    <w:rsid w:val="00E923D8"/>
    <w:rsid w:val="00E9279B"/>
    <w:rsid w:val="00ED2C6D"/>
    <w:rsid w:val="00F020FB"/>
    <w:rsid w:val="00F07A13"/>
    <w:rsid w:val="00F2299A"/>
    <w:rsid w:val="00F54B7A"/>
    <w:rsid w:val="00F56929"/>
    <w:rsid w:val="00F673B9"/>
    <w:rsid w:val="00F7424B"/>
    <w:rsid w:val="00F93A52"/>
    <w:rsid w:val="00F93DF3"/>
    <w:rsid w:val="00F9448F"/>
    <w:rsid w:val="00FA2346"/>
    <w:rsid w:val="00FA527D"/>
    <w:rsid w:val="00FB4944"/>
    <w:rsid w:val="00FB5A83"/>
    <w:rsid w:val="00FD23C4"/>
    <w:rsid w:val="00FD29BC"/>
    <w:rsid w:val="00FD31B0"/>
    <w:rsid w:val="00FD571E"/>
    <w:rsid w:val="00FD641E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0840"/>
  <w15:chartTrackingRefBased/>
  <w15:docId w15:val="{FD9269CF-1C60-4F52-9F8E-CCECE89E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0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7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0FE"/>
  </w:style>
  <w:style w:type="paragraph" w:customStyle="1" w:styleId="xmsonormal">
    <w:name w:val="x_msonormal"/>
    <w:basedOn w:val="Normal"/>
    <w:rsid w:val="0026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66B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10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1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reaccion_cade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122</cp:revision>
  <cp:lastPrinted>2023-03-09T13:01:00Z</cp:lastPrinted>
  <dcterms:created xsi:type="dcterms:W3CDTF">2023-04-25T11:08:00Z</dcterms:created>
  <dcterms:modified xsi:type="dcterms:W3CDTF">2023-05-03T11:30:00Z</dcterms:modified>
</cp:coreProperties>
</file>