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50E0C" w14:textId="77777777" w:rsidR="00C644D5" w:rsidRDefault="00C644D5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16AD702C" w:rsidR="00D34E7F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F6C4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24B4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6C4C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88EE08" w14:textId="77777777" w:rsidR="005A2742" w:rsidRDefault="005A2742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8824189" w14:textId="31C2EB47" w:rsidR="00A24B4E" w:rsidRPr="00A24B4E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A24B4E" w:rsidRPr="00A24B4E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El especial de ‘Planeta Calleja’ en Telecinco lidera su franja con casi 2M y empuja a la victoria dominical</w:t>
      </w:r>
      <w:r w:rsidR="004630BD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de la cadena</w:t>
      </w:r>
      <w:r w:rsidR="00A24B4E" w:rsidRPr="00A24B4E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  <w:r w:rsidR="00525AC5" w:rsidRPr="00A24B4E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</w:p>
    <w:p w14:paraId="66F43A9D" w14:textId="6B32C9E0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6778AD1" w14:textId="77777777" w:rsidR="00A24B4E" w:rsidRDefault="00A24B4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1BDCED" w14:textId="133D1A33" w:rsidR="00A61D08" w:rsidRDefault="00DB25B5" w:rsidP="00DB25B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entrega con Sa</w:t>
      </w:r>
      <w:r w:rsidR="009234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Craviotto como invitado desde La Palma (13% y 1,9M) lideró de forma absoluta entre los menores de 54 años</w:t>
      </w:r>
      <w:r w:rsidR="00910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D4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el 15,1% en </w:t>
      </w:r>
      <w:proofErr w:type="gramStart"/>
      <w:r w:rsidR="00FD456D" w:rsidRPr="00FD456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FD4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</w:t>
      </w:r>
      <w:r w:rsidR="00BB7C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</w:t>
      </w:r>
      <w:r w:rsidR="00FD4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en C</w:t>
      </w:r>
      <w:r w:rsidR="00910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anari</w:t>
      </w:r>
      <w:r w:rsidR="00FD4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10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</w:t>
      </w:r>
      <w:r w:rsidR="00FD4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910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24,5%</w:t>
      </w:r>
      <w:r w:rsidR="00BB7C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77EABF9" w14:textId="77777777" w:rsidR="00DF5D09" w:rsidRDefault="00DF5D09" w:rsidP="00DF5D09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094C687" w14:textId="65ECFFF5" w:rsidR="00BB7CAC" w:rsidRDefault="00DF5D09" w:rsidP="00DB25B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continuación, </w:t>
      </w:r>
      <w:r w:rsidR="00DB25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DB25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</w:t>
      </w:r>
      <w:proofErr w:type="spellEnd"/>
      <w:r w:rsidR="00DB25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DB25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 w:rsidR="00DB25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(16,1%</w:t>
      </w:r>
      <w:r w:rsidR="00910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se impuso en su banda de emisión frente a su inmediato competidor</w:t>
      </w:r>
      <w:r w:rsidR="00BB7C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(12,8%), con casi un 20% entre los jóvenes</w:t>
      </w:r>
    </w:p>
    <w:p w14:paraId="2BFE016E" w14:textId="77777777" w:rsidR="009104B5" w:rsidRDefault="009104B5" w:rsidP="00DB25B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AD145FC" w14:textId="1EF73C38" w:rsidR="0080480C" w:rsidRDefault="009104B5" w:rsidP="00DB25B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 h (16,1% y 1,9M) anot</w:t>
      </w:r>
      <w:r w:rsidR="00BB7C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resultado en domingo de los últimos 7 meses y crec</w:t>
      </w:r>
      <w:r w:rsidR="00BB7C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17,8% en </w:t>
      </w:r>
      <w:proofErr w:type="gramStart"/>
      <w:r w:rsidRPr="00BB7CA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DB25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320D9B4" w14:textId="77777777" w:rsidR="00525AC5" w:rsidRDefault="00525AC5" w:rsidP="00525AC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E2F2FFB" w14:textId="49B8C011" w:rsidR="004630BD" w:rsidRDefault="009104B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entrega especial de </w:t>
      </w:r>
      <w:r w:rsidRPr="004630BD">
        <w:rPr>
          <w:rFonts w:ascii="Arial" w:eastAsia="Times New Roman" w:hAnsi="Arial" w:cs="Arial"/>
          <w:b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la isla de La Palma con Sa</w:t>
      </w:r>
      <w:r w:rsidR="00032DCD"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 Craviotto como invitado</w:t>
      </w:r>
      <w:r w:rsidR="00693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7C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 w:rsidR="000A1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conquistó 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0A17F9">
        <w:rPr>
          <w:rFonts w:ascii="Arial" w:eastAsia="Times New Roman" w:hAnsi="Arial" w:cs="Arial"/>
          <w:bCs/>
          <w:sz w:val="24"/>
          <w:szCs w:val="24"/>
          <w:lang w:eastAsia="es-ES"/>
        </w:rPr>
        <w:t>el interés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mayoritario </w:t>
      </w:r>
      <w:r w:rsidR="000A1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2 millones de </w:t>
      </w:r>
      <w:r w:rsidR="000A17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que 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>auparon al li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dera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>zgo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franja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13% de </w:t>
      </w:r>
      <w:r w:rsidR="004630BD" w:rsidRPr="004630B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</w:t>
      </w:r>
      <w:proofErr w:type="gramStart"/>
      <w:r w:rsidR="004630BD" w:rsidRPr="00BB7CA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BB7C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15,1% de </w:t>
      </w:r>
      <w:r w:rsidR="004630BD" w:rsidRPr="00BB7CA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63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40F21">
        <w:rPr>
          <w:rFonts w:ascii="Arial" w:eastAsia="Times New Roman" w:hAnsi="Arial" w:cs="Arial"/>
          <w:bCs/>
          <w:sz w:val="24"/>
          <w:szCs w:val="24"/>
          <w:lang w:eastAsia="es-ES"/>
        </w:rPr>
        <w:t>con sus principales seguidores entre los espectadores de 35 a 54 años (15,2%), superando el 23% en los mercados regionales de Canarias (24,5%) y Murcia (23,3%).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7CAC">
        <w:rPr>
          <w:rFonts w:ascii="Arial" w:eastAsia="Times New Roman" w:hAnsi="Arial" w:cs="Arial"/>
          <w:bCs/>
          <w:sz w:val="24"/>
          <w:szCs w:val="24"/>
          <w:lang w:eastAsia="es-ES"/>
        </w:rPr>
        <w:t>Por su parte, l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>a oferta de Antena 3</w:t>
      </w:r>
      <w:r w:rsidR="00BB7C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‘Infiel’, </w:t>
      </w:r>
      <w:r w:rsidR="00BB7C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BB7CAC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público más afín entre los espectadores mayores de 65 años (21%). </w:t>
      </w:r>
    </w:p>
    <w:p w14:paraId="7A1D3EFD" w14:textId="77777777" w:rsidR="000A17F9" w:rsidRDefault="000A17F9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F97B07" w14:textId="3D8B3B3D" w:rsidR="006E417D" w:rsidRDefault="006E417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8E47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8E471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: la noche de los secretos’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E14AD">
        <w:rPr>
          <w:rFonts w:ascii="Arial" w:eastAsia="Times New Roman" w:hAnsi="Arial" w:cs="Arial"/>
          <w:bCs/>
          <w:sz w:val="24"/>
          <w:szCs w:val="24"/>
          <w:lang w:eastAsia="es-ES"/>
        </w:rPr>
        <w:t>16,1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E14A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14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su franja de emisión con </w:t>
      </w:r>
      <w:r w:rsidR="005E14A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E14A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segunda opción (12,</w:t>
      </w:r>
      <w:r w:rsidR="005E14A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Rozó el 20%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16 y 34 años.</w:t>
      </w:r>
    </w:p>
    <w:p w14:paraId="0C849082" w14:textId="471D6794" w:rsidR="006E417D" w:rsidRDefault="006E417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1B7766" w14:textId="5DFCE66F" w:rsidR="009B1F94" w:rsidRDefault="009B1F94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C644D5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(16,1% y 1,9M) anotó </w:t>
      </w:r>
      <w:r w:rsidR="00B401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edición más vista en domingo de los últimos 7 meses e incrementó 1,7 puntos </w:t>
      </w:r>
      <w:r w:rsidR="00C644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dato </w:t>
      </w:r>
      <w:r w:rsidR="00FD456D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644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9B1F9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(17,8%).</w:t>
      </w:r>
    </w:p>
    <w:p w14:paraId="13A8A061" w14:textId="77777777" w:rsidR="009B1F94" w:rsidRDefault="009B1F94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DA6137" w14:textId="54FB65BB" w:rsidR="00BE109A" w:rsidRDefault="0081008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proofErr w:type="spellStart"/>
      <w:r w:rsidRPr="008100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8100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D903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55F6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55F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955F6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170A8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955F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fue la primera opción para los espectadores en su franja, por encima del 14% de su inmediato competidor. 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Creció al 17,1% en</w:t>
      </w:r>
      <w:r w:rsidR="009B1F94">
        <w:rPr>
          <w:rFonts w:ascii="Arial" w:eastAsia="Times New Roman" w:hAnsi="Arial" w:cs="Arial"/>
          <w:bCs/>
          <w:sz w:val="24"/>
          <w:szCs w:val="24"/>
          <w:lang w:eastAsia="es-ES"/>
        </w:rPr>
        <w:t>tre los públicos más dinámicos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D12A0CD" w14:textId="1EAF9518" w:rsidR="00955F6B" w:rsidRDefault="00955F6B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F76B2C" w14:textId="0ED8C4E0" w:rsidR="00955F6B" w:rsidRDefault="00955F6B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Pr="00602674">
        <w:rPr>
          <w:rFonts w:ascii="Arial" w:eastAsia="Times New Roman" w:hAnsi="Arial" w:cs="Arial"/>
          <w:b/>
          <w:sz w:val="24"/>
          <w:szCs w:val="24"/>
          <w:lang w:eastAsia="es-ES"/>
        </w:rPr>
        <w:t>Telecinco fue ayer la televisión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401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de forma absoluta en 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franjas de mañana (13,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proofErr w:type="spellStart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en </w:t>
      </w:r>
      <w:proofErr w:type="gramStart"/>
      <w:r w:rsidRPr="00955F6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109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AA06D5F" w14:textId="3AE88F78" w:rsidR="00810085" w:rsidRDefault="0081008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D4AF69" w14:textId="4A210B5D" w:rsidR="00C644D5" w:rsidRDefault="00C644D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BDBCDC" w14:textId="3A03281A" w:rsidR="00FD456D" w:rsidRDefault="00FD456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2641BE" w14:textId="24B4D6C3" w:rsidR="00FD456D" w:rsidRDefault="00FD456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9FCE48" w14:textId="77777777" w:rsidR="00FD456D" w:rsidRDefault="00FD456D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D2B78C" w14:textId="77777777" w:rsidR="00C644D5" w:rsidRDefault="00C644D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C6C706" w14:textId="50D8DC61" w:rsidR="00B54B14" w:rsidRPr="00FD456D" w:rsidRDefault="00B54B14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FD456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lastRenderedPageBreak/>
        <w:t xml:space="preserve">Cuatro se impone </w:t>
      </w:r>
      <w:r w:rsidR="00BE109A" w:rsidRPr="00FD456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un domingo más </w:t>
      </w:r>
      <w:r w:rsidRPr="00FD456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a La Sexta </w:t>
      </w:r>
      <w:r w:rsidR="00BE109A" w:rsidRPr="00FD456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impulsado </w:t>
      </w:r>
      <w:r w:rsidRPr="00FD456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por la fortaleza de sus espacios de tarde y </w:t>
      </w:r>
      <w:r w:rsidRPr="00FD456D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</w:p>
    <w:p w14:paraId="3DA57B7E" w14:textId="77777777" w:rsidR="00810085" w:rsidRDefault="00810085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00D903" w14:textId="0F9EB938" w:rsidR="00B401B0" w:rsidRPr="00A235E5" w:rsidRDefault="00B401B0" w:rsidP="00B401B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programación de Cuatro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acapar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 un domingo más el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interés de los espectadores frente a su competidor, destacando el resultado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Pr="00B401B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Cuarto Milenio’</w:t>
      </w:r>
      <w:r w:rsidRPr="00B401B0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401B0">
        <w:rPr>
          <w:rFonts w:ascii="Arial" w:eastAsia="Times New Roman" w:hAnsi="Arial" w:cs="Arial"/>
          <w:bCs/>
          <w:sz w:val="24"/>
          <w:szCs w:val="24"/>
          <w:lang w:eastAsia="es-ES"/>
        </w:rPr>
        <w:t>con 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ás de 916.000 espectadores y un 6,2%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anotó la victoria en su franja frente a la oferta de su principal competidor, La Sexta (4,6%). El espacio de Cuatro presentado por </w:t>
      </w:r>
      <w:r w:rsidRPr="005174FC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hasta el 8,7% de </w:t>
      </w:r>
      <w:r w:rsidRPr="00715D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Pr="005A27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25616661" w14:textId="77777777" w:rsidR="00B401B0" w:rsidRDefault="00B401B0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AA0E44" w14:textId="0E6F2EEC" w:rsidR="001A637C" w:rsidRDefault="00B401B0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doble entrega del contenedor </w:t>
      </w:r>
      <w:r w:rsidR="00B54B14" w:rsidRPr="008E4719">
        <w:rPr>
          <w:rFonts w:ascii="Arial" w:eastAsia="Times New Roman" w:hAnsi="Arial" w:cs="Arial"/>
          <w:b/>
          <w:sz w:val="24"/>
          <w:szCs w:val="24"/>
          <w:lang w:eastAsia="es-ES"/>
        </w:rPr>
        <w:t>Home Cinema</w:t>
      </w:r>
      <w:r w:rsidR="00965A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las películas </w:t>
      </w:r>
      <w:r w:rsidR="00EF52C7"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63A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Prince </w:t>
      </w:r>
      <w:proofErr w:type="spellStart"/>
      <w:r w:rsidR="00D63A90">
        <w:rPr>
          <w:rFonts w:ascii="Arial" w:eastAsia="Times New Roman" w:hAnsi="Arial" w:cs="Arial"/>
          <w:b/>
          <w:sz w:val="24"/>
          <w:szCs w:val="24"/>
          <w:lang w:eastAsia="es-ES"/>
        </w:rPr>
        <w:t>of</w:t>
      </w:r>
      <w:proofErr w:type="spellEnd"/>
      <w:r w:rsidR="00D63A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Persia</w:t>
      </w:r>
      <w:r w:rsidR="00EF52C7"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63A90">
        <w:rPr>
          <w:rFonts w:ascii="Arial" w:eastAsia="Times New Roman" w:hAnsi="Arial" w:cs="Arial"/>
          <w:bCs/>
          <w:sz w:val="24"/>
          <w:szCs w:val="24"/>
          <w:lang w:eastAsia="es-ES"/>
        </w:rPr>
        <w:t>9 y 1,1M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867F5">
        <w:rPr>
          <w:rFonts w:ascii="Arial" w:eastAsia="Times New Roman" w:hAnsi="Arial" w:cs="Arial"/>
          <w:bCs/>
          <w:sz w:val="24"/>
          <w:szCs w:val="24"/>
          <w:lang w:eastAsia="es-ES"/>
        </w:rPr>
        <w:t>, el título más visto de este contenedor de los últimos 5 meses,</w:t>
      </w:r>
      <w:r w:rsidR="00B54B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F52C7"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63A90">
        <w:rPr>
          <w:rFonts w:ascii="Arial" w:eastAsia="Times New Roman" w:hAnsi="Arial" w:cs="Arial"/>
          <w:b/>
          <w:sz w:val="24"/>
          <w:szCs w:val="24"/>
          <w:lang w:eastAsia="es-ES"/>
        </w:rPr>
        <w:t>En busca del palacio dorado</w:t>
      </w:r>
      <w:r w:rsidR="00EF52C7" w:rsidRPr="003C6CB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F52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63A90">
        <w:rPr>
          <w:rFonts w:ascii="Arial" w:eastAsia="Times New Roman" w:hAnsi="Arial" w:cs="Arial"/>
          <w:bCs/>
          <w:sz w:val="24"/>
          <w:szCs w:val="24"/>
          <w:lang w:eastAsia="es-ES"/>
        </w:rPr>
        <w:t>6,6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D63A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860.000</w:t>
      </w:r>
      <w:r w:rsidR="00EF52C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867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65ABC">
        <w:rPr>
          <w:rFonts w:ascii="Arial" w:eastAsia="Times New Roman" w:hAnsi="Arial" w:cs="Arial"/>
          <w:bCs/>
          <w:sz w:val="24"/>
          <w:szCs w:val="24"/>
          <w:lang w:eastAsia="es-ES"/>
        </w:rPr>
        <w:t>registraron</w:t>
      </w:r>
      <w:r w:rsidR="00D03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datos por encima de La Sexta en su franja 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63A9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63A9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63A9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63A9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respectivamente), en la que emitió ‘La Roca’ (</w:t>
      </w:r>
      <w:r w:rsidR="006B570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B570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283A1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03D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672B36" w14:textId="7A8BF694" w:rsidR="001A637C" w:rsidRPr="002C3349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19D6AD6" w14:textId="050DC04A" w:rsidR="00D20C11" w:rsidRDefault="002223EA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223EA">
        <w:rPr>
          <w:rFonts w:ascii="Arial" w:eastAsia="Times New Roman" w:hAnsi="Arial" w:cs="Arial"/>
          <w:bCs/>
          <w:sz w:val="24"/>
          <w:szCs w:val="24"/>
          <w:lang w:eastAsia="es-ES"/>
        </w:rPr>
        <w:t>Impulsado por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64990" w:rsidRPr="0076499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649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8E4719">
        <w:rPr>
          <w:rFonts w:ascii="Arial" w:eastAsia="Times New Roman" w:hAnsi="Arial" w:cs="Arial"/>
          <w:bCs/>
          <w:sz w:val="24"/>
          <w:szCs w:val="24"/>
          <w:lang w:eastAsia="es-ES"/>
        </w:rPr>
        <w:t>aventajó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total día a La Sexta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22B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no logró 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arle en ninguna de las franjas del domingo: </w:t>
      </w:r>
      <w:r w:rsidR="00A249A6" w:rsidRPr="00A249A6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20638F" w:rsidRPr="002063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 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063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A128F0" w:rsidRPr="00A128F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12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7,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138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proofErr w:type="gram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A249A6" w:rsidRPr="00D20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73221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4A2C0F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551264CE" w14:textId="0FE9F6DA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FBBC5C" w14:textId="1154F9CF" w:rsidR="00EF52C7" w:rsidRDefault="00A50CC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las televisiones temáticas, </w:t>
      </w:r>
      <w:r w:rsidRPr="00A50CC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50CC9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fueron </w:t>
      </w:r>
      <w:r w:rsidRPr="00A50CC9">
        <w:rPr>
          <w:rFonts w:ascii="Arial" w:eastAsia="Times New Roman" w:hAnsi="Arial" w:cs="Arial"/>
          <w:b/>
          <w:sz w:val="24"/>
          <w:szCs w:val="24"/>
          <w:lang w:eastAsia="es-ES"/>
        </w:rPr>
        <w:t>las más vistas del domingo</w:t>
      </w:r>
      <w:r w:rsidR="004A2C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2,5% de </w:t>
      </w:r>
      <w:r w:rsidR="004A2C0F" w:rsidRPr="004A2C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F52C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5C4D" w14:textId="77777777" w:rsidR="001B18E8" w:rsidRDefault="001B18E8" w:rsidP="00B23904">
      <w:pPr>
        <w:spacing w:after="0" w:line="240" w:lineRule="auto"/>
      </w:pPr>
      <w:r>
        <w:separator/>
      </w:r>
    </w:p>
  </w:endnote>
  <w:endnote w:type="continuationSeparator" w:id="0">
    <w:p w14:paraId="14FA2A08" w14:textId="77777777" w:rsidR="001B18E8" w:rsidRDefault="001B18E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D544" w14:textId="77777777" w:rsidR="001B18E8" w:rsidRDefault="001B18E8" w:rsidP="00B23904">
      <w:pPr>
        <w:spacing w:after="0" w:line="240" w:lineRule="auto"/>
      </w:pPr>
      <w:r>
        <w:separator/>
      </w:r>
    </w:p>
  </w:footnote>
  <w:footnote w:type="continuationSeparator" w:id="0">
    <w:p w14:paraId="116F25D1" w14:textId="77777777" w:rsidR="001B18E8" w:rsidRDefault="001B18E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2B43"/>
    <w:rsid w:val="00026D9C"/>
    <w:rsid w:val="000327BE"/>
    <w:rsid w:val="00032DCD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7F9"/>
    <w:rsid w:val="000A1CD7"/>
    <w:rsid w:val="000A6FDF"/>
    <w:rsid w:val="000B1998"/>
    <w:rsid w:val="000C104C"/>
    <w:rsid w:val="000C1E67"/>
    <w:rsid w:val="000C3B42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18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67E49"/>
    <w:rsid w:val="00170949"/>
    <w:rsid w:val="00170A8B"/>
    <w:rsid w:val="001710FC"/>
    <w:rsid w:val="001728C3"/>
    <w:rsid w:val="00174A49"/>
    <w:rsid w:val="00176AFC"/>
    <w:rsid w:val="001773D7"/>
    <w:rsid w:val="00184007"/>
    <w:rsid w:val="001850F2"/>
    <w:rsid w:val="001866EE"/>
    <w:rsid w:val="00196274"/>
    <w:rsid w:val="00196F49"/>
    <w:rsid w:val="001A3464"/>
    <w:rsid w:val="001A637C"/>
    <w:rsid w:val="001A637F"/>
    <w:rsid w:val="001B072D"/>
    <w:rsid w:val="001B18E8"/>
    <w:rsid w:val="001B2853"/>
    <w:rsid w:val="001B3B90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38F"/>
    <w:rsid w:val="00206A58"/>
    <w:rsid w:val="00210DF9"/>
    <w:rsid w:val="002209D2"/>
    <w:rsid w:val="00220B89"/>
    <w:rsid w:val="002223EA"/>
    <w:rsid w:val="00226FE2"/>
    <w:rsid w:val="002347A6"/>
    <w:rsid w:val="0024272A"/>
    <w:rsid w:val="00242E16"/>
    <w:rsid w:val="002445D3"/>
    <w:rsid w:val="002460A2"/>
    <w:rsid w:val="00246D78"/>
    <w:rsid w:val="00251526"/>
    <w:rsid w:val="002558CF"/>
    <w:rsid w:val="002565C1"/>
    <w:rsid w:val="00256EA1"/>
    <w:rsid w:val="002669E2"/>
    <w:rsid w:val="0027542D"/>
    <w:rsid w:val="002774D1"/>
    <w:rsid w:val="00280172"/>
    <w:rsid w:val="0028299A"/>
    <w:rsid w:val="0028386E"/>
    <w:rsid w:val="00283A17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C72DA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1A21"/>
    <w:rsid w:val="003B77E4"/>
    <w:rsid w:val="003C1B11"/>
    <w:rsid w:val="003C4280"/>
    <w:rsid w:val="003C6CBE"/>
    <w:rsid w:val="003D0960"/>
    <w:rsid w:val="003D10B4"/>
    <w:rsid w:val="003D2774"/>
    <w:rsid w:val="003E01E0"/>
    <w:rsid w:val="003E0BC9"/>
    <w:rsid w:val="003E7BA6"/>
    <w:rsid w:val="003F161B"/>
    <w:rsid w:val="003F185D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165"/>
    <w:rsid w:val="00453629"/>
    <w:rsid w:val="00454D71"/>
    <w:rsid w:val="00454DE2"/>
    <w:rsid w:val="00456F22"/>
    <w:rsid w:val="004575B3"/>
    <w:rsid w:val="00462B23"/>
    <w:rsid w:val="004630BD"/>
    <w:rsid w:val="00463A06"/>
    <w:rsid w:val="004653AD"/>
    <w:rsid w:val="00465E03"/>
    <w:rsid w:val="004671C4"/>
    <w:rsid w:val="004756C6"/>
    <w:rsid w:val="0048295B"/>
    <w:rsid w:val="00482F77"/>
    <w:rsid w:val="00482FAD"/>
    <w:rsid w:val="004857B8"/>
    <w:rsid w:val="004858FF"/>
    <w:rsid w:val="00485EF8"/>
    <w:rsid w:val="004901E2"/>
    <w:rsid w:val="00492819"/>
    <w:rsid w:val="00496277"/>
    <w:rsid w:val="004A0795"/>
    <w:rsid w:val="004A24FB"/>
    <w:rsid w:val="004A2C0F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5E6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174FC"/>
    <w:rsid w:val="00520AD5"/>
    <w:rsid w:val="00524412"/>
    <w:rsid w:val="00525AC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06FA"/>
    <w:rsid w:val="00581D72"/>
    <w:rsid w:val="00582133"/>
    <w:rsid w:val="00591B3C"/>
    <w:rsid w:val="005929C5"/>
    <w:rsid w:val="00595B8B"/>
    <w:rsid w:val="00597FED"/>
    <w:rsid w:val="005A182D"/>
    <w:rsid w:val="005A2742"/>
    <w:rsid w:val="005A28C6"/>
    <w:rsid w:val="005A4484"/>
    <w:rsid w:val="005B372D"/>
    <w:rsid w:val="005B3A5B"/>
    <w:rsid w:val="005C0E84"/>
    <w:rsid w:val="005C4D7D"/>
    <w:rsid w:val="005C5AEB"/>
    <w:rsid w:val="005C65F4"/>
    <w:rsid w:val="005D0271"/>
    <w:rsid w:val="005D1477"/>
    <w:rsid w:val="005D6B70"/>
    <w:rsid w:val="005E14AD"/>
    <w:rsid w:val="005F12F6"/>
    <w:rsid w:val="005F362F"/>
    <w:rsid w:val="005F38DE"/>
    <w:rsid w:val="005F4350"/>
    <w:rsid w:val="005F47E9"/>
    <w:rsid w:val="005F6C4C"/>
    <w:rsid w:val="00602674"/>
    <w:rsid w:val="0060389F"/>
    <w:rsid w:val="00604D3E"/>
    <w:rsid w:val="006149A5"/>
    <w:rsid w:val="00616157"/>
    <w:rsid w:val="00620035"/>
    <w:rsid w:val="00622499"/>
    <w:rsid w:val="00627077"/>
    <w:rsid w:val="006277FB"/>
    <w:rsid w:val="00631F6E"/>
    <w:rsid w:val="006330E5"/>
    <w:rsid w:val="0064291C"/>
    <w:rsid w:val="00642ADC"/>
    <w:rsid w:val="00642E5E"/>
    <w:rsid w:val="006502A2"/>
    <w:rsid w:val="00652D06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726E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5C8"/>
    <w:rsid w:val="00694F68"/>
    <w:rsid w:val="006A1867"/>
    <w:rsid w:val="006A7620"/>
    <w:rsid w:val="006A782A"/>
    <w:rsid w:val="006B4FF6"/>
    <w:rsid w:val="006B570C"/>
    <w:rsid w:val="006B622B"/>
    <w:rsid w:val="006C17DD"/>
    <w:rsid w:val="006D7CE8"/>
    <w:rsid w:val="006E2F0B"/>
    <w:rsid w:val="006E3B24"/>
    <w:rsid w:val="006E417D"/>
    <w:rsid w:val="006E4DCC"/>
    <w:rsid w:val="006E54A2"/>
    <w:rsid w:val="006E707B"/>
    <w:rsid w:val="006F0621"/>
    <w:rsid w:val="006F3D56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15DA4"/>
    <w:rsid w:val="00721D0E"/>
    <w:rsid w:val="007238A1"/>
    <w:rsid w:val="00724F0B"/>
    <w:rsid w:val="00732217"/>
    <w:rsid w:val="00732C9A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874EA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0480C"/>
    <w:rsid w:val="00810085"/>
    <w:rsid w:val="008250A9"/>
    <w:rsid w:val="008251B8"/>
    <w:rsid w:val="00826E00"/>
    <w:rsid w:val="00832D14"/>
    <w:rsid w:val="008337DC"/>
    <w:rsid w:val="00833B61"/>
    <w:rsid w:val="00840F2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7746F"/>
    <w:rsid w:val="00880851"/>
    <w:rsid w:val="0089094A"/>
    <w:rsid w:val="0089750C"/>
    <w:rsid w:val="008A3ED2"/>
    <w:rsid w:val="008B2E6B"/>
    <w:rsid w:val="008B57C7"/>
    <w:rsid w:val="008C0C84"/>
    <w:rsid w:val="008C195D"/>
    <w:rsid w:val="008D0E96"/>
    <w:rsid w:val="008D2355"/>
    <w:rsid w:val="008D3014"/>
    <w:rsid w:val="008E2C32"/>
    <w:rsid w:val="008E4719"/>
    <w:rsid w:val="008E61DD"/>
    <w:rsid w:val="008E748A"/>
    <w:rsid w:val="008F244A"/>
    <w:rsid w:val="008F26F0"/>
    <w:rsid w:val="008F3143"/>
    <w:rsid w:val="008F4CEE"/>
    <w:rsid w:val="008F57B2"/>
    <w:rsid w:val="00901F6C"/>
    <w:rsid w:val="00903A0C"/>
    <w:rsid w:val="00906F98"/>
    <w:rsid w:val="009104B5"/>
    <w:rsid w:val="0091098E"/>
    <w:rsid w:val="00916115"/>
    <w:rsid w:val="009206AA"/>
    <w:rsid w:val="009211C4"/>
    <w:rsid w:val="00922D65"/>
    <w:rsid w:val="00923435"/>
    <w:rsid w:val="009268C4"/>
    <w:rsid w:val="0093055C"/>
    <w:rsid w:val="00930A35"/>
    <w:rsid w:val="00930D26"/>
    <w:rsid w:val="00932684"/>
    <w:rsid w:val="00932E20"/>
    <w:rsid w:val="00942F1E"/>
    <w:rsid w:val="00952E8D"/>
    <w:rsid w:val="00955F6B"/>
    <w:rsid w:val="009613D2"/>
    <w:rsid w:val="009624A0"/>
    <w:rsid w:val="00965ABC"/>
    <w:rsid w:val="009679EB"/>
    <w:rsid w:val="00970A89"/>
    <w:rsid w:val="0097584B"/>
    <w:rsid w:val="00992360"/>
    <w:rsid w:val="009A2374"/>
    <w:rsid w:val="009A78DA"/>
    <w:rsid w:val="009B1F94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128F0"/>
    <w:rsid w:val="00A13AC8"/>
    <w:rsid w:val="00A207AF"/>
    <w:rsid w:val="00A23006"/>
    <w:rsid w:val="00A235E5"/>
    <w:rsid w:val="00A249A6"/>
    <w:rsid w:val="00A24B4E"/>
    <w:rsid w:val="00A260BF"/>
    <w:rsid w:val="00A312AE"/>
    <w:rsid w:val="00A326DE"/>
    <w:rsid w:val="00A33D60"/>
    <w:rsid w:val="00A340B7"/>
    <w:rsid w:val="00A41892"/>
    <w:rsid w:val="00A423BC"/>
    <w:rsid w:val="00A46293"/>
    <w:rsid w:val="00A50CC9"/>
    <w:rsid w:val="00A5381C"/>
    <w:rsid w:val="00A551AB"/>
    <w:rsid w:val="00A611FF"/>
    <w:rsid w:val="00A61A48"/>
    <w:rsid w:val="00A61D08"/>
    <w:rsid w:val="00A704DA"/>
    <w:rsid w:val="00A70DD3"/>
    <w:rsid w:val="00A75664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0FE5"/>
    <w:rsid w:val="00B114C6"/>
    <w:rsid w:val="00B17278"/>
    <w:rsid w:val="00B2132F"/>
    <w:rsid w:val="00B23904"/>
    <w:rsid w:val="00B24636"/>
    <w:rsid w:val="00B24FFF"/>
    <w:rsid w:val="00B25592"/>
    <w:rsid w:val="00B31EBD"/>
    <w:rsid w:val="00B345DE"/>
    <w:rsid w:val="00B3499B"/>
    <w:rsid w:val="00B3715C"/>
    <w:rsid w:val="00B401B0"/>
    <w:rsid w:val="00B4189D"/>
    <w:rsid w:val="00B50D90"/>
    <w:rsid w:val="00B50F6E"/>
    <w:rsid w:val="00B528C3"/>
    <w:rsid w:val="00B52F74"/>
    <w:rsid w:val="00B5463A"/>
    <w:rsid w:val="00B54B14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87ACA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CAC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109A"/>
    <w:rsid w:val="00BE71F9"/>
    <w:rsid w:val="00BF7FE0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44D5"/>
    <w:rsid w:val="00C676C4"/>
    <w:rsid w:val="00C71EA6"/>
    <w:rsid w:val="00C746AC"/>
    <w:rsid w:val="00C813FF"/>
    <w:rsid w:val="00C8667F"/>
    <w:rsid w:val="00C867F5"/>
    <w:rsid w:val="00C87AD8"/>
    <w:rsid w:val="00C91575"/>
    <w:rsid w:val="00C91A22"/>
    <w:rsid w:val="00C9360A"/>
    <w:rsid w:val="00C94436"/>
    <w:rsid w:val="00C97E7E"/>
    <w:rsid w:val="00CA1D09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3DC6"/>
    <w:rsid w:val="00D0783B"/>
    <w:rsid w:val="00D167CB"/>
    <w:rsid w:val="00D2013F"/>
    <w:rsid w:val="00D20C11"/>
    <w:rsid w:val="00D26D85"/>
    <w:rsid w:val="00D32232"/>
    <w:rsid w:val="00D34E7F"/>
    <w:rsid w:val="00D36CB7"/>
    <w:rsid w:val="00D41EA6"/>
    <w:rsid w:val="00D458F8"/>
    <w:rsid w:val="00D50406"/>
    <w:rsid w:val="00D51248"/>
    <w:rsid w:val="00D515BE"/>
    <w:rsid w:val="00D536E1"/>
    <w:rsid w:val="00D56088"/>
    <w:rsid w:val="00D63A90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037F"/>
    <w:rsid w:val="00D9481D"/>
    <w:rsid w:val="00D967DA"/>
    <w:rsid w:val="00DA36C4"/>
    <w:rsid w:val="00DA67DB"/>
    <w:rsid w:val="00DB25B5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095"/>
    <w:rsid w:val="00DF1B61"/>
    <w:rsid w:val="00DF4026"/>
    <w:rsid w:val="00DF5D09"/>
    <w:rsid w:val="00DF675E"/>
    <w:rsid w:val="00DF79B1"/>
    <w:rsid w:val="00E00A99"/>
    <w:rsid w:val="00E041D4"/>
    <w:rsid w:val="00E0477D"/>
    <w:rsid w:val="00E05848"/>
    <w:rsid w:val="00E05D9B"/>
    <w:rsid w:val="00E13816"/>
    <w:rsid w:val="00E177AF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04B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2C7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2040"/>
    <w:rsid w:val="00F33DB5"/>
    <w:rsid w:val="00F348BC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183D"/>
    <w:rsid w:val="00FC3966"/>
    <w:rsid w:val="00FC42A2"/>
    <w:rsid w:val="00FC42CF"/>
    <w:rsid w:val="00FC4B38"/>
    <w:rsid w:val="00FD0A5B"/>
    <w:rsid w:val="00FD17D0"/>
    <w:rsid w:val="00FD456D"/>
    <w:rsid w:val="00FD4813"/>
    <w:rsid w:val="00FD65D1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2021-11-29T10:40:00Z</dcterms:created>
  <dcterms:modified xsi:type="dcterms:W3CDTF">2021-11-29T10:40:00Z</dcterms:modified>
</cp:coreProperties>
</file>