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89FA" w14:textId="61654F78" w:rsidR="00D34E7F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F6C4C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6C4C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88EE08" w14:textId="77777777" w:rsidR="005A2742" w:rsidRDefault="005A2742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00FB8AB" w14:textId="102976C2" w:rsidR="00525AC5" w:rsidRPr="007874EA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525AC5" w:rsidRPr="007874E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Telecinco lidera el domingo y encabeza lo más visto del día con la </w:t>
      </w:r>
      <w:r w:rsidR="007874EA" w:rsidRPr="007874E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noche especial dedicada a </w:t>
      </w:r>
      <w:r w:rsidR="00525AC5" w:rsidRPr="007874E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Dolores Vázquez </w:t>
      </w:r>
    </w:p>
    <w:p w14:paraId="66F43A9D" w14:textId="74522329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9CA624" w14:textId="77777777" w:rsidR="00DF5D09" w:rsidRDefault="00DF5D09" w:rsidP="00DF5D09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1BDCED" w14:textId="007F1CC0" w:rsidR="00A61D08" w:rsidRDefault="00DF5D09" w:rsidP="00DF5D09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reportaje ‘Las claves del caso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Dolores Vázquez’ (15,9% y 2,5M) fue lo más visto del domingo con su público más afín entre los de 25 a 34 años (19,4%).</w:t>
      </w:r>
    </w:p>
    <w:p w14:paraId="277EABF9" w14:textId="77777777" w:rsidR="00DF5D09" w:rsidRDefault="00DF5D09" w:rsidP="00DF5D09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4140E1" w14:textId="289367EF" w:rsidR="00525AC5" w:rsidRDefault="00DF5D09" w:rsidP="00525A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continuación, el</w:t>
      </w:r>
      <w:r w:rsidR="00525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estreno en abierto de</w:t>
      </w:r>
      <w:r w:rsidR="006E41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segundo capítulo de la serie</w:t>
      </w:r>
      <w:r w:rsidR="00525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‘Dolores: la verdad sobre el caso </w:t>
      </w:r>
      <w:proofErr w:type="spellStart"/>
      <w:r w:rsidR="00525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 w:rsidR="00525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(18,2% y 2,5M) fue el segundo espacio con mayor audiencia de</w:t>
      </w:r>
      <w:r w:rsidR="00D90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5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D90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525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90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jornada y</w:t>
      </w:r>
      <w:r w:rsidR="008048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creció al 20,8% en </w:t>
      </w:r>
      <w:proofErr w:type="gramStart"/>
      <w:r w:rsidR="0080480C" w:rsidRPr="0080480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8048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los espectadores de 16 a 34 años como sus mayores seguidores (25,3%)</w:t>
      </w:r>
      <w:r w:rsidR="00D90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861F8F7" w14:textId="6199229A" w:rsidR="0080480C" w:rsidRDefault="0080480C" w:rsidP="00525A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AD145FC" w14:textId="525A1BFF" w:rsidR="0080480C" w:rsidRDefault="006935C8" w:rsidP="00525A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debate ‘La verdad sobre el caso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(23,3% y 2,3M) se situó en tercer lugar del ranking y arrasó entre los jóvenes de 16 a 34 años (32,1%)</w:t>
      </w:r>
      <w:r w:rsidR="00D90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048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</w:p>
    <w:p w14:paraId="3320D9B4" w14:textId="77777777" w:rsidR="00525AC5" w:rsidRDefault="00525AC5" w:rsidP="00525A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9D3D497" w14:textId="72B1B2AB" w:rsidR="000A17F9" w:rsidRDefault="006935C8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noche especial dedicada al caso </w:t>
      </w:r>
      <w:r w:rsidRPr="000A17F9">
        <w:rPr>
          <w:rFonts w:ascii="Arial" w:eastAsia="Times New Roman" w:hAnsi="Arial" w:cs="Arial"/>
          <w:b/>
          <w:sz w:val="24"/>
          <w:szCs w:val="24"/>
          <w:lang w:eastAsia="es-ES"/>
        </w:rPr>
        <w:t>Dolores Vázquez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1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conquistó el interés de la mayor parte de los espectadores que auparon </w:t>
      </w:r>
      <w:r w:rsidR="00CA1D09">
        <w:rPr>
          <w:rFonts w:ascii="Arial" w:eastAsia="Times New Roman" w:hAnsi="Arial" w:cs="Arial"/>
          <w:bCs/>
          <w:sz w:val="24"/>
          <w:szCs w:val="24"/>
          <w:lang w:eastAsia="es-ES"/>
        </w:rPr>
        <w:t>las tres entregas de la que constaba</w:t>
      </w:r>
      <w:r w:rsidR="000A1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(reportaje con las claves, el segundo capítulo de la serie y el debate posterior) hasta lo más alto de</w:t>
      </w:r>
      <w:r w:rsidR="00D9037F">
        <w:rPr>
          <w:rFonts w:ascii="Arial" w:eastAsia="Times New Roman" w:hAnsi="Arial" w:cs="Arial"/>
          <w:bCs/>
          <w:sz w:val="24"/>
          <w:szCs w:val="24"/>
          <w:lang w:eastAsia="es-ES"/>
        </w:rPr>
        <w:t>l ranking de</w:t>
      </w:r>
      <w:r w:rsidR="000A1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audiencias dominicales.</w:t>
      </w:r>
    </w:p>
    <w:p w14:paraId="7A1D3EFD" w14:textId="77777777" w:rsidR="000A17F9" w:rsidRDefault="000A17F9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CA4E9" w14:textId="1548BA1E" w:rsidR="0087746F" w:rsidRDefault="000A17F9" w:rsidP="000A17F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17F9">
        <w:rPr>
          <w:rFonts w:ascii="Arial" w:eastAsia="Times New Roman" w:hAnsi="Arial" w:cs="Arial"/>
          <w:b/>
          <w:sz w:val="24"/>
          <w:szCs w:val="24"/>
          <w:lang w:eastAsia="es-ES"/>
        </w:rPr>
        <w:t>Lo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reportaje </w:t>
      </w:r>
      <w:r w:rsidRPr="000A17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‘Las claves del caso </w:t>
      </w:r>
      <w:proofErr w:type="spellStart"/>
      <w:r w:rsidRPr="000A17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 w:rsidRPr="000A17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Dolores Vázquez’ </w:t>
      </w:r>
      <w:r w:rsidRPr="000A17F9">
        <w:rPr>
          <w:rFonts w:ascii="Arial" w:eastAsia="Times New Roman" w:hAnsi="Arial" w:cs="Arial"/>
          <w:sz w:val="24"/>
          <w:szCs w:val="24"/>
          <w:lang w:eastAsia="es-ES"/>
        </w:rPr>
        <w:t>(15,9% y 2,5M)</w:t>
      </w:r>
      <w:r>
        <w:rPr>
          <w:rFonts w:ascii="Arial" w:eastAsia="Times New Roman" w:hAnsi="Arial" w:cs="Arial"/>
          <w:sz w:val="24"/>
          <w:szCs w:val="24"/>
          <w:lang w:eastAsia="es-ES"/>
        </w:rPr>
        <w:t>, con 3,4 puntos de ventaja sobre la segunda opción en su franja (</w:t>
      </w:r>
      <w:r w:rsidR="0087746F">
        <w:rPr>
          <w:rFonts w:ascii="Arial" w:eastAsia="Times New Roman" w:hAnsi="Arial" w:cs="Arial"/>
          <w:sz w:val="24"/>
          <w:szCs w:val="24"/>
          <w:lang w:eastAsia="es-ES"/>
        </w:rPr>
        <w:t xml:space="preserve">12,5%). Anotó el </w:t>
      </w:r>
      <w:r w:rsidR="0087746F" w:rsidRPr="00F34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del domingo</w:t>
      </w:r>
      <w:r w:rsidR="0087746F">
        <w:rPr>
          <w:rFonts w:ascii="Arial" w:eastAsia="Times New Roman" w:hAnsi="Arial" w:cs="Arial"/>
          <w:sz w:val="24"/>
          <w:szCs w:val="24"/>
          <w:lang w:eastAsia="es-ES"/>
        </w:rPr>
        <w:t xml:space="preserve">, a las 22:30 h, con 2,9 M de espectadores (18,1%). Creció al 17,6% en </w:t>
      </w:r>
      <w:proofErr w:type="gramStart"/>
      <w:r w:rsidR="0087746F" w:rsidRPr="0087746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87746F">
        <w:rPr>
          <w:rFonts w:ascii="Arial" w:eastAsia="Times New Roman" w:hAnsi="Arial" w:cs="Arial"/>
          <w:sz w:val="24"/>
          <w:szCs w:val="24"/>
          <w:lang w:eastAsia="es-ES"/>
        </w:rPr>
        <w:t xml:space="preserve"> comercial y congregó a la mayor parte de sus seguidores en la horquilla de los 25 a 34 años (19,4%), superando el 20% de </w:t>
      </w:r>
      <w:r w:rsidR="0087746F" w:rsidRPr="00F348B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87746F">
        <w:rPr>
          <w:rFonts w:ascii="Arial" w:eastAsia="Times New Roman" w:hAnsi="Arial" w:cs="Arial"/>
          <w:sz w:val="24"/>
          <w:szCs w:val="24"/>
          <w:lang w:eastAsia="es-ES"/>
        </w:rPr>
        <w:t xml:space="preserve"> en los mercados regionales de Canarias (21,9%), Andalucía (20,7%) y en el denominado ‘Resto’ (23,3%).</w:t>
      </w:r>
      <w:r w:rsidR="00D03DC6">
        <w:rPr>
          <w:rFonts w:ascii="Arial" w:eastAsia="Times New Roman" w:hAnsi="Arial" w:cs="Arial"/>
          <w:sz w:val="24"/>
          <w:szCs w:val="24"/>
          <w:lang w:eastAsia="es-ES"/>
        </w:rPr>
        <w:t xml:space="preserve"> También registró el </w:t>
      </w:r>
      <w:r w:rsidR="00D03DC6" w:rsidRPr="008E47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</w:t>
      </w:r>
      <w:r w:rsidR="00D03DC6" w:rsidRPr="008E47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domingo</w:t>
      </w:r>
      <w:r w:rsidR="00D03DC6">
        <w:rPr>
          <w:rFonts w:ascii="Arial" w:eastAsia="Times New Roman" w:hAnsi="Arial" w:cs="Arial"/>
          <w:sz w:val="24"/>
          <w:szCs w:val="24"/>
          <w:lang w:eastAsia="es-ES"/>
        </w:rPr>
        <w:t xml:space="preserve"> (Ferrero Rocher), a las 22:32 h, con un 6,9% de </w:t>
      </w:r>
      <w:r w:rsidR="00D03DC6" w:rsidRPr="00D03DC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 w:rsidR="00D03DC6">
        <w:rPr>
          <w:rFonts w:ascii="Arial" w:eastAsia="Times New Roman" w:hAnsi="Arial" w:cs="Arial"/>
          <w:sz w:val="24"/>
          <w:szCs w:val="24"/>
          <w:lang w:eastAsia="es-ES"/>
        </w:rPr>
        <w:t xml:space="preserve"> publicitario. </w:t>
      </w:r>
    </w:p>
    <w:p w14:paraId="478180EB" w14:textId="21A7CF83" w:rsidR="0087746F" w:rsidRDefault="0087746F" w:rsidP="000A17F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F84AED" w14:textId="07A3D493" w:rsidR="002460A2" w:rsidRPr="002460A2" w:rsidRDefault="00F348BC" w:rsidP="002460A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continuación, el estreno en abierto del segundo capítulo de la serie ‘</w:t>
      </w:r>
      <w:r w:rsidR="002460A2" w:rsidRPr="00246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‘Dolores: la verdad sobre el caso </w:t>
      </w:r>
      <w:proofErr w:type="spellStart"/>
      <w:r w:rsidR="002460A2" w:rsidRPr="00246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 w:rsidR="002460A2" w:rsidRPr="00246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2460A2" w:rsidRPr="002460A2">
        <w:rPr>
          <w:rFonts w:ascii="Arial" w:eastAsia="Times New Roman" w:hAnsi="Arial" w:cs="Arial"/>
          <w:sz w:val="24"/>
          <w:szCs w:val="24"/>
          <w:lang w:eastAsia="es-ES"/>
        </w:rPr>
        <w:t xml:space="preserve">(18,2% y 2,5M) fue el </w:t>
      </w:r>
      <w:r w:rsidR="002460A2" w:rsidRPr="00D90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espacio con mayor audiencia del día</w:t>
      </w:r>
      <w:r w:rsidR="002460A2" w:rsidRPr="002460A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460A2">
        <w:rPr>
          <w:rFonts w:ascii="Arial" w:eastAsia="Times New Roman" w:hAnsi="Arial" w:cs="Arial"/>
          <w:sz w:val="24"/>
          <w:szCs w:val="24"/>
          <w:lang w:eastAsia="es-ES"/>
        </w:rPr>
        <w:t>con casi 3 puntos sobre la oferta de su inmediato competidor. C</w:t>
      </w:r>
      <w:r w:rsidR="002460A2" w:rsidRPr="002460A2">
        <w:rPr>
          <w:rFonts w:ascii="Arial" w:eastAsia="Times New Roman" w:hAnsi="Arial" w:cs="Arial"/>
          <w:sz w:val="24"/>
          <w:szCs w:val="24"/>
          <w:lang w:eastAsia="es-ES"/>
        </w:rPr>
        <w:t xml:space="preserve">reció al 20,8% en </w:t>
      </w:r>
      <w:proofErr w:type="gramStart"/>
      <w:r w:rsidR="002460A2" w:rsidRPr="002460A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2460A2" w:rsidRPr="002460A2">
        <w:rPr>
          <w:rFonts w:ascii="Arial" w:eastAsia="Times New Roman" w:hAnsi="Arial" w:cs="Arial"/>
          <w:sz w:val="24"/>
          <w:szCs w:val="24"/>
          <w:lang w:eastAsia="es-ES"/>
        </w:rPr>
        <w:t xml:space="preserve"> comercial, con los espectadores de 16 a 34 años como sus mayores seguidores (25,3%)</w:t>
      </w:r>
      <w:r w:rsidR="002460A2">
        <w:rPr>
          <w:rFonts w:ascii="Arial" w:eastAsia="Times New Roman" w:hAnsi="Arial" w:cs="Arial"/>
          <w:sz w:val="24"/>
          <w:szCs w:val="24"/>
          <w:lang w:eastAsia="es-ES"/>
        </w:rPr>
        <w:t xml:space="preserve">, destacando en los mercados regionales de Andalucía (24,9%) y en el denominado ‘Resto’ (20,2%). </w:t>
      </w:r>
    </w:p>
    <w:p w14:paraId="3DD098A0" w14:textId="3A5F49C1" w:rsidR="00F348BC" w:rsidRDefault="00F348BC" w:rsidP="000A17F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9A893E" w14:textId="748D9BA4" w:rsidR="00A41892" w:rsidRPr="00A41892" w:rsidRDefault="00A41892" w:rsidP="00A4189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tercera parte de los especiales, el debate </w:t>
      </w:r>
      <w:r w:rsidRPr="00A41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verdad sobre el caso </w:t>
      </w:r>
      <w:proofErr w:type="spellStart"/>
      <w:r w:rsidRPr="00A41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 w:rsidRPr="00A41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(23,3% y 2,3M) </w:t>
      </w:r>
      <w:r w:rsidRPr="00A41892">
        <w:rPr>
          <w:rFonts w:ascii="Arial" w:eastAsia="Times New Roman" w:hAnsi="Arial" w:cs="Arial"/>
          <w:sz w:val="24"/>
          <w:szCs w:val="24"/>
          <w:lang w:eastAsia="es-ES"/>
        </w:rPr>
        <w:t xml:space="preserve">se situó en tercer lugar del ranking de lo más visto </w:t>
      </w:r>
      <w:r w:rsidR="007874EA">
        <w:rPr>
          <w:rFonts w:ascii="Arial" w:eastAsia="Times New Roman" w:hAnsi="Arial" w:cs="Arial"/>
          <w:sz w:val="24"/>
          <w:szCs w:val="24"/>
          <w:lang w:eastAsia="es-ES"/>
        </w:rPr>
        <w:t xml:space="preserve">con más de 5 puntos por encima de la oferta de Antena 3 (18,1%). </w:t>
      </w:r>
      <w:r w:rsidR="007874EA" w:rsidRPr="006E41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6E41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rrasó entre los jóvenes</w:t>
      </w:r>
      <w:r w:rsidRPr="00A41892">
        <w:rPr>
          <w:rFonts w:ascii="Arial" w:eastAsia="Times New Roman" w:hAnsi="Arial" w:cs="Arial"/>
          <w:sz w:val="24"/>
          <w:szCs w:val="24"/>
          <w:lang w:eastAsia="es-ES"/>
        </w:rPr>
        <w:t xml:space="preserve"> de 16 a 34 años (32,1%), al igu</w:t>
      </w:r>
      <w:r>
        <w:rPr>
          <w:rFonts w:ascii="Arial" w:eastAsia="Times New Roman" w:hAnsi="Arial" w:cs="Arial"/>
          <w:sz w:val="24"/>
          <w:szCs w:val="24"/>
          <w:lang w:eastAsia="es-ES"/>
        </w:rPr>
        <w:t>al que en los mercados regionales de Andalucía (29,4), Madrid (25,6%) y Galicia (25,4%), con datos por encima del 25%</w:t>
      </w:r>
      <w:r w:rsidRPr="00A41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cuota de pantalla.</w:t>
      </w:r>
      <w:r w:rsidRPr="00A41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5D2D8E0A" w14:textId="4D980AC2" w:rsidR="0087746F" w:rsidRDefault="0087746F" w:rsidP="000A17F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E18C37" w14:textId="53CD0EB8" w:rsidR="006E417D" w:rsidRDefault="006E417D" w:rsidP="000A17F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A8288" w14:textId="77777777" w:rsidR="006E417D" w:rsidRDefault="006E417D" w:rsidP="000A17F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C48780" w14:textId="77777777" w:rsidR="006E417D" w:rsidRDefault="006E417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F97B07" w14:textId="137687FB" w:rsidR="006E417D" w:rsidRDefault="006E417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el </w:t>
      </w:r>
      <w:r w:rsidRPr="008E47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8E47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: la noche de los secretos’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(21,1% y 1M) lideró su franja de emisión con 8,4 puntos de ventaja sobre la segunda opción en su banda de emisión (12,7%). Los espectadores jóvenes volvieron a ser sus mayores seguidores con un 28,4% de </w:t>
      </w:r>
      <w:r w:rsidRPr="006E41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8E47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público de entre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 y 34 años.</w:t>
      </w:r>
    </w:p>
    <w:p w14:paraId="0C849082" w14:textId="26C3CF69" w:rsidR="006E417D" w:rsidRDefault="006E417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F8B98D" w14:textId="2376511E" w:rsidR="00810085" w:rsidRDefault="0081008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proofErr w:type="spellStart"/>
      <w:r w:rsidRPr="008100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8100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55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14,9% y 1,2M) fue la primera opción para los espectadores en su franja, por encima del 13,4% de su inmediato competidor. Y </w:t>
      </w:r>
      <w:r w:rsidR="00955F6B"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955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(12,7% y 1,6M) también lideró durante su emisión, con 1,4 puntos sobre la oferta de Antena 3 (11,3%).</w:t>
      </w:r>
    </w:p>
    <w:p w14:paraId="0D12A0CD" w14:textId="1EAF9518" w:rsidR="00955F6B" w:rsidRDefault="00955F6B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F76B2C" w14:textId="1FADA395" w:rsidR="00955F6B" w:rsidRDefault="00955F6B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Pr="00602674">
        <w:rPr>
          <w:rFonts w:ascii="Arial" w:eastAsia="Times New Roman" w:hAnsi="Arial" w:cs="Arial"/>
          <w:b/>
          <w:sz w:val="24"/>
          <w:szCs w:val="24"/>
          <w:lang w:eastAsia="es-ES"/>
        </w:rPr>
        <w:t>Telecinco fue ayer la televisión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(14,4%) con su </w:t>
      </w:r>
      <w:r w:rsidRPr="00602674">
        <w:rPr>
          <w:rFonts w:ascii="Arial" w:eastAsia="Times New Roman" w:hAnsi="Arial" w:cs="Arial"/>
          <w:b/>
          <w:sz w:val="24"/>
          <w:szCs w:val="24"/>
          <w:lang w:eastAsia="es-ES"/>
        </w:rPr>
        <w:t>mejor dato en domingo sin evento deportivo de los últimos 6 meses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lo fue en las franjas de mañana (13,8%), tarde (13,3%), </w:t>
      </w:r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(21,6%), </w:t>
      </w:r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(15,1%), </w:t>
      </w:r>
      <w:proofErr w:type="spellStart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(14,1%) y en </w:t>
      </w:r>
      <w:proofErr w:type="gramStart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(14,8%).</w:t>
      </w:r>
    </w:p>
    <w:p w14:paraId="2AA06D5F" w14:textId="1EEA0B78" w:rsidR="00810085" w:rsidRDefault="0081008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C6C706" w14:textId="0C584A2C" w:rsidR="00B54B14" w:rsidRPr="00B54B14" w:rsidRDefault="00B54B14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28"/>
          <w:szCs w:val="28"/>
          <w:lang w:eastAsia="es-ES"/>
        </w:rPr>
      </w:pPr>
      <w:r w:rsidRPr="00B54B14">
        <w:rPr>
          <w:rFonts w:ascii="Arial" w:eastAsia="Times New Roman" w:hAnsi="Arial" w:cs="Arial"/>
          <w:bCs/>
          <w:color w:val="1F4E79" w:themeColor="accent1" w:themeShade="80"/>
          <w:sz w:val="28"/>
          <w:szCs w:val="28"/>
          <w:lang w:eastAsia="es-ES"/>
        </w:rPr>
        <w:t xml:space="preserve">Cuatro se impone a La Sexta aupado por la fortaleza de sus espacios de tarde y </w:t>
      </w:r>
      <w:r w:rsidRPr="008A3ED2">
        <w:rPr>
          <w:rFonts w:ascii="Arial" w:eastAsia="Times New Roman" w:hAnsi="Arial" w:cs="Arial"/>
          <w:bCs/>
          <w:i/>
          <w:iCs/>
          <w:color w:val="1F4E79" w:themeColor="accent1" w:themeShade="80"/>
          <w:sz w:val="28"/>
          <w:szCs w:val="28"/>
          <w:lang w:eastAsia="es-ES"/>
        </w:rPr>
        <w:t>prime time</w:t>
      </w:r>
    </w:p>
    <w:p w14:paraId="3DA57B7E" w14:textId="77777777" w:rsidR="00810085" w:rsidRDefault="0081008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A469D77" w14:textId="4AA6B8C5" w:rsidR="001A637C" w:rsidRPr="00A235E5" w:rsidRDefault="00167E49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835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y un 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arroparon 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>anoche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entrega 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A2742">
        <w:rPr>
          <w:rFonts w:ascii="Arial" w:eastAsia="Times New Roman" w:hAnsi="Arial" w:cs="Arial"/>
          <w:b/>
          <w:sz w:val="24"/>
          <w:szCs w:val="24"/>
          <w:lang w:eastAsia="es-ES"/>
        </w:rPr>
        <w:t>Cuarto Milenio</w:t>
      </w:r>
      <w:r w:rsidR="005174F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E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</w:t>
      </w:r>
      <w:r w:rsidR="008A3ED2" w:rsidRPr="008A3ED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8A3E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Cuatro</w:t>
      </w:r>
      <w:r w:rsidR="005174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anotándose 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victoria en su franja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 la oferta de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Sexta (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630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5174FC">
        <w:rPr>
          <w:rFonts w:ascii="Arial" w:eastAsia="Times New Roman" w:hAnsi="Arial" w:cs="Arial"/>
          <w:bCs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 por </w:t>
      </w:r>
      <w:r w:rsidR="005A2742" w:rsidRPr="005174FC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ció hasta el 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="005A2742" w:rsidRPr="005A27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213CD0E" w14:textId="64CB1C76" w:rsidR="001A637C" w:rsidRDefault="005B3A5B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2AA0E44" w14:textId="10F6D03F" w:rsidR="001A637C" w:rsidRDefault="00EF52C7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igual forma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programación de Cuatro acaparó un mayor interés por parte de los espectadores frente a su competidor, destacando el resultado de la doble entrega del contenedor </w:t>
      </w:r>
      <w:r w:rsidR="00B54B14" w:rsidRPr="008E4719">
        <w:rPr>
          <w:rFonts w:ascii="Arial" w:eastAsia="Times New Roman" w:hAnsi="Arial" w:cs="Arial"/>
          <w:b/>
          <w:sz w:val="24"/>
          <w:szCs w:val="24"/>
          <w:lang w:eastAsia="es-ES"/>
        </w:rPr>
        <w:t>Home Cinema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las películas 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54B14">
        <w:rPr>
          <w:rFonts w:ascii="Arial" w:eastAsia="Times New Roman" w:hAnsi="Arial" w:cs="Arial"/>
          <w:b/>
          <w:sz w:val="24"/>
          <w:szCs w:val="24"/>
          <w:lang w:eastAsia="es-ES"/>
        </w:rPr>
        <w:t>El fraude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54B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Erin </w:t>
      </w:r>
      <w:proofErr w:type="spellStart"/>
      <w:r w:rsidR="00B54B14">
        <w:rPr>
          <w:rFonts w:ascii="Arial" w:eastAsia="Times New Roman" w:hAnsi="Arial" w:cs="Arial"/>
          <w:b/>
          <w:sz w:val="24"/>
          <w:szCs w:val="24"/>
          <w:lang w:eastAsia="es-ES"/>
        </w:rPr>
        <w:t>Brockovich</w:t>
      </w:r>
      <w:proofErr w:type="spellEnd"/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7,1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03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datos por encima de La Sexta en su franja 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2,8% y 4,9%, respectivamente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 ‘La Roca’ (3,9%)</w:t>
      </w:r>
      <w:r w:rsidR="00D03D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672B36" w14:textId="7A8BF694" w:rsidR="001A637C" w:rsidRPr="002C3349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19D6AD6" w14:textId="259F0559" w:rsidR="00D20C11" w:rsidRDefault="002223EA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223EA">
        <w:rPr>
          <w:rFonts w:ascii="Arial" w:eastAsia="Times New Roman" w:hAnsi="Arial" w:cs="Arial"/>
          <w:bCs/>
          <w:sz w:val="24"/>
          <w:szCs w:val="24"/>
          <w:lang w:eastAsia="es-ES"/>
        </w:rPr>
        <w:t>Impulsado por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64990" w:rsidRPr="0076499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649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8E4719">
        <w:rPr>
          <w:rFonts w:ascii="Arial" w:eastAsia="Times New Roman" w:hAnsi="Arial" w:cs="Arial"/>
          <w:bCs/>
          <w:sz w:val="24"/>
          <w:szCs w:val="24"/>
          <w:lang w:eastAsia="es-ES"/>
        </w:rPr>
        <w:t>aventajó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1,6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total día a La Sexta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4,4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22B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no logró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arle en ninguna de las franjas del domingo: </w:t>
      </w:r>
      <w:r w:rsidR="00A249A6" w:rsidRPr="00A249A6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20638F" w:rsidRPr="002063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>% vs 4,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A128F0" w:rsidRPr="00A128F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,8%);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7,1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proofErr w:type="gram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A249A6" w:rsidRPr="00D20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551264CE" w14:textId="0FE9F6DA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FBBC5C" w14:textId="303707D8" w:rsidR="00EF52C7" w:rsidRDefault="00A50CC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las televisiones temáticas, </w:t>
      </w:r>
      <w:r w:rsidRPr="00A50CC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(2,7%) y </w:t>
      </w:r>
      <w:r w:rsidRPr="00A50CC9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(2,3%) fueron </w:t>
      </w:r>
      <w:r w:rsidRPr="00A50CC9">
        <w:rPr>
          <w:rFonts w:ascii="Arial" w:eastAsia="Times New Roman" w:hAnsi="Arial" w:cs="Arial"/>
          <w:b/>
          <w:sz w:val="24"/>
          <w:szCs w:val="24"/>
          <w:lang w:eastAsia="es-ES"/>
        </w:rPr>
        <w:t>las más vistas del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F52C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DCC1" w14:textId="77777777" w:rsidR="00B114C6" w:rsidRDefault="00B114C6" w:rsidP="00B23904">
      <w:pPr>
        <w:spacing w:after="0" w:line="240" w:lineRule="auto"/>
      </w:pPr>
      <w:r>
        <w:separator/>
      </w:r>
    </w:p>
  </w:endnote>
  <w:endnote w:type="continuationSeparator" w:id="0">
    <w:p w14:paraId="5AE85A5C" w14:textId="77777777" w:rsidR="00B114C6" w:rsidRDefault="00B114C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DC8D" w14:textId="77777777" w:rsidR="00B114C6" w:rsidRDefault="00B114C6" w:rsidP="00B23904">
      <w:pPr>
        <w:spacing w:after="0" w:line="240" w:lineRule="auto"/>
      </w:pPr>
      <w:r>
        <w:separator/>
      </w:r>
    </w:p>
  </w:footnote>
  <w:footnote w:type="continuationSeparator" w:id="0">
    <w:p w14:paraId="5113CB4B" w14:textId="77777777" w:rsidR="00B114C6" w:rsidRDefault="00B114C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2B43"/>
    <w:rsid w:val="00026D9C"/>
    <w:rsid w:val="000327BE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7F9"/>
    <w:rsid w:val="000A1CD7"/>
    <w:rsid w:val="000A6FDF"/>
    <w:rsid w:val="000B1998"/>
    <w:rsid w:val="000C104C"/>
    <w:rsid w:val="000C1E67"/>
    <w:rsid w:val="000C3B42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18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67E49"/>
    <w:rsid w:val="00170949"/>
    <w:rsid w:val="001710FC"/>
    <w:rsid w:val="001728C3"/>
    <w:rsid w:val="00174A49"/>
    <w:rsid w:val="00176AFC"/>
    <w:rsid w:val="001773D7"/>
    <w:rsid w:val="00184007"/>
    <w:rsid w:val="001850F2"/>
    <w:rsid w:val="001866EE"/>
    <w:rsid w:val="00196274"/>
    <w:rsid w:val="00196F49"/>
    <w:rsid w:val="001A3464"/>
    <w:rsid w:val="001A637C"/>
    <w:rsid w:val="001A637F"/>
    <w:rsid w:val="001B072D"/>
    <w:rsid w:val="001B2853"/>
    <w:rsid w:val="001B3B90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38F"/>
    <w:rsid w:val="00206A58"/>
    <w:rsid w:val="00210DF9"/>
    <w:rsid w:val="002209D2"/>
    <w:rsid w:val="00220B89"/>
    <w:rsid w:val="002223EA"/>
    <w:rsid w:val="00226FE2"/>
    <w:rsid w:val="002347A6"/>
    <w:rsid w:val="0024272A"/>
    <w:rsid w:val="00242E16"/>
    <w:rsid w:val="002445D3"/>
    <w:rsid w:val="002460A2"/>
    <w:rsid w:val="00246D78"/>
    <w:rsid w:val="00251526"/>
    <w:rsid w:val="002558CF"/>
    <w:rsid w:val="002565C1"/>
    <w:rsid w:val="00256EA1"/>
    <w:rsid w:val="002669E2"/>
    <w:rsid w:val="0027542D"/>
    <w:rsid w:val="002774D1"/>
    <w:rsid w:val="00280172"/>
    <w:rsid w:val="0028299A"/>
    <w:rsid w:val="0028386E"/>
    <w:rsid w:val="00283A17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C72DA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1A21"/>
    <w:rsid w:val="003B77E4"/>
    <w:rsid w:val="003C1B11"/>
    <w:rsid w:val="003C4280"/>
    <w:rsid w:val="003C6CBE"/>
    <w:rsid w:val="003D0960"/>
    <w:rsid w:val="003D10B4"/>
    <w:rsid w:val="003D2774"/>
    <w:rsid w:val="003E01E0"/>
    <w:rsid w:val="003E0BC9"/>
    <w:rsid w:val="003E7BA6"/>
    <w:rsid w:val="003F161B"/>
    <w:rsid w:val="003F185D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165"/>
    <w:rsid w:val="00453629"/>
    <w:rsid w:val="00454D71"/>
    <w:rsid w:val="00454DE2"/>
    <w:rsid w:val="00456F22"/>
    <w:rsid w:val="004575B3"/>
    <w:rsid w:val="00462B23"/>
    <w:rsid w:val="00463A06"/>
    <w:rsid w:val="004653AD"/>
    <w:rsid w:val="00465E03"/>
    <w:rsid w:val="004671C4"/>
    <w:rsid w:val="004756C6"/>
    <w:rsid w:val="0048295B"/>
    <w:rsid w:val="00482F77"/>
    <w:rsid w:val="00482FAD"/>
    <w:rsid w:val="004857B8"/>
    <w:rsid w:val="004858FF"/>
    <w:rsid w:val="00485EF8"/>
    <w:rsid w:val="004901E2"/>
    <w:rsid w:val="00492819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5E6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174FC"/>
    <w:rsid w:val="00520AD5"/>
    <w:rsid w:val="00525AC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06FA"/>
    <w:rsid w:val="00581D72"/>
    <w:rsid w:val="00582133"/>
    <w:rsid w:val="00591B3C"/>
    <w:rsid w:val="005929C5"/>
    <w:rsid w:val="00595B8B"/>
    <w:rsid w:val="00597FED"/>
    <w:rsid w:val="005A182D"/>
    <w:rsid w:val="005A2742"/>
    <w:rsid w:val="005A28C6"/>
    <w:rsid w:val="005A4484"/>
    <w:rsid w:val="005B372D"/>
    <w:rsid w:val="005B3A5B"/>
    <w:rsid w:val="005C0E84"/>
    <w:rsid w:val="005C4D7D"/>
    <w:rsid w:val="005C5AEB"/>
    <w:rsid w:val="005C65F4"/>
    <w:rsid w:val="005D0271"/>
    <w:rsid w:val="005D1477"/>
    <w:rsid w:val="005D6B70"/>
    <w:rsid w:val="005F12F6"/>
    <w:rsid w:val="005F362F"/>
    <w:rsid w:val="005F38DE"/>
    <w:rsid w:val="005F4350"/>
    <w:rsid w:val="005F47E9"/>
    <w:rsid w:val="005F6C4C"/>
    <w:rsid w:val="00602674"/>
    <w:rsid w:val="0060389F"/>
    <w:rsid w:val="00604D3E"/>
    <w:rsid w:val="006149A5"/>
    <w:rsid w:val="00616157"/>
    <w:rsid w:val="00620035"/>
    <w:rsid w:val="00622499"/>
    <w:rsid w:val="00627077"/>
    <w:rsid w:val="006277FB"/>
    <w:rsid w:val="00631F6E"/>
    <w:rsid w:val="006330E5"/>
    <w:rsid w:val="0064291C"/>
    <w:rsid w:val="00642ADC"/>
    <w:rsid w:val="00642E5E"/>
    <w:rsid w:val="006502A2"/>
    <w:rsid w:val="00652D06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726E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5C8"/>
    <w:rsid w:val="00694F68"/>
    <w:rsid w:val="006A1867"/>
    <w:rsid w:val="006A7620"/>
    <w:rsid w:val="006A782A"/>
    <w:rsid w:val="006B4FF6"/>
    <w:rsid w:val="006B622B"/>
    <w:rsid w:val="006C17DD"/>
    <w:rsid w:val="006D7CE8"/>
    <w:rsid w:val="006E2F0B"/>
    <w:rsid w:val="006E3B24"/>
    <w:rsid w:val="006E417D"/>
    <w:rsid w:val="006E4DCC"/>
    <w:rsid w:val="006E54A2"/>
    <w:rsid w:val="006E707B"/>
    <w:rsid w:val="006F0621"/>
    <w:rsid w:val="006F3D56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15DA4"/>
    <w:rsid w:val="00721D0E"/>
    <w:rsid w:val="00724F0B"/>
    <w:rsid w:val="00732217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874EA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0480C"/>
    <w:rsid w:val="00810085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7746F"/>
    <w:rsid w:val="00880851"/>
    <w:rsid w:val="0089094A"/>
    <w:rsid w:val="0089750C"/>
    <w:rsid w:val="008A3ED2"/>
    <w:rsid w:val="008B2E6B"/>
    <w:rsid w:val="008B57C7"/>
    <w:rsid w:val="008C0C84"/>
    <w:rsid w:val="008C195D"/>
    <w:rsid w:val="008D0E96"/>
    <w:rsid w:val="008D2355"/>
    <w:rsid w:val="008D3014"/>
    <w:rsid w:val="008E2C32"/>
    <w:rsid w:val="008E4719"/>
    <w:rsid w:val="008E61DD"/>
    <w:rsid w:val="008E748A"/>
    <w:rsid w:val="008F244A"/>
    <w:rsid w:val="008F26F0"/>
    <w:rsid w:val="008F3143"/>
    <w:rsid w:val="008F4CEE"/>
    <w:rsid w:val="008F57B2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55F6B"/>
    <w:rsid w:val="009613D2"/>
    <w:rsid w:val="009624A0"/>
    <w:rsid w:val="009679EB"/>
    <w:rsid w:val="00970A89"/>
    <w:rsid w:val="0097584B"/>
    <w:rsid w:val="00992360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128F0"/>
    <w:rsid w:val="00A13AC8"/>
    <w:rsid w:val="00A207AF"/>
    <w:rsid w:val="00A23006"/>
    <w:rsid w:val="00A235E5"/>
    <w:rsid w:val="00A249A6"/>
    <w:rsid w:val="00A260BF"/>
    <w:rsid w:val="00A312AE"/>
    <w:rsid w:val="00A326DE"/>
    <w:rsid w:val="00A33D60"/>
    <w:rsid w:val="00A340B7"/>
    <w:rsid w:val="00A41892"/>
    <w:rsid w:val="00A423BC"/>
    <w:rsid w:val="00A46293"/>
    <w:rsid w:val="00A50CC9"/>
    <w:rsid w:val="00A5381C"/>
    <w:rsid w:val="00A551AB"/>
    <w:rsid w:val="00A611FF"/>
    <w:rsid w:val="00A61A48"/>
    <w:rsid w:val="00A61D08"/>
    <w:rsid w:val="00A704DA"/>
    <w:rsid w:val="00A70DD3"/>
    <w:rsid w:val="00A75664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0FE5"/>
    <w:rsid w:val="00B114C6"/>
    <w:rsid w:val="00B17278"/>
    <w:rsid w:val="00B2132F"/>
    <w:rsid w:val="00B23904"/>
    <w:rsid w:val="00B24636"/>
    <w:rsid w:val="00B24FFF"/>
    <w:rsid w:val="00B25592"/>
    <w:rsid w:val="00B31EBD"/>
    <w:rsid w:val="00B345DE"/>
    <w:rsid w:val="00B3499B"/>
    <w:rsid w:val="00B3715C"/>
    <w:rsid w:val="00B4189D"/>
    <w:rsid w:val="00B50D90"/>
    <w:rsid w:val="00B50F6E"/>
    <w:rsid w:val="00B528C3"/>
    <w:rsid w:val="00B52F74"/>
    <w:rsid w:val="00B5463A"/>
    <w:rsid w:val="00B54B14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87ACA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BF7FE0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1D09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3DC6"/>
    <w:rsid w:val="00D0783B"/>
    <w:rsid w:val="00D167CB"/>
    <w:rsid w:val="00D2013F"/>
    <w:rsid w:val="00D20C11"/>
    <w:rsid w:val="00D26D85"/>
    <w:rsid w:val="00D32232"/>
    <w:rsid w:val="00D34E7F"/>
    <w:rsid w:val="00D36CB7"/>
    <w:rsid w:val="00D41EA6"/>
    <w:rsid w:val="00D458F8"/>
    <w:rsid w:val="00D50406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037F"/>
    <w:rsid w:val="00D9481D"/>
    <w:rsid w:val="00D967DA"/>
    <w:rsid w:val="00DA36C4"/>
    <w:rsid w:val="00DA67DB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095"/>
    <w:rsid w:val="00DF1B61"/>
    <w:rsid w:val="00DF4026"/>
    <w:rsid w:val="00DF5D09"/>
    <w:rsid w:val="00DF675E"/>
    <w:rsid w:val="00DF79B1"/>
    <w:rsid w:val="00E00A99"/>
    <w:rsid w:val="00E041D4"/>
    <w:rsid w:val="00E0477D"/>
    <w:rsid w:val="00E05848"/>
    <w:rsid w:val="00E05D9B"/>
    <w:rsid w:val="00E13816"/>
    <w:rsid w:val="00E177AF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04B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2C7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2040"/>
    <w:rsid w:val="00F33DB5"/>
    <w:rsid w:val="00F348BC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183D"/>
    <w:rsid w:val="00FC3966"/>
    <w:rsid w:val="00FC42A2"/>
    <w:rsid w:val="00FC42CF"/>
    <w:rsid w:val="00FC4B38"/>
    <w:rsid w:val="00FD0A5B"/>
    <w:rsid w:val="00FD17D0"/>
    <w:rsid w:val="00FD4813"/>
    <w:rsid w:val="00FD65D1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2021-11-22T11:46:00Z</dcterms:created>
  <dcterms:modified xsi:type="dcterms:W3CDTF">2021-11-22T11:46:00Z</dcterms:modified>
</cp:coreProperties>
</file>