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6AB5B" w14:textId="77777777" w:rsidR="007C3C4F" w:rsidRDefault="007C3C4F" w:rsidP="007C3C4F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BF0888" w14:textId="3E272BE1" w:rsidR="002B0217" w:rsidRDefault="00B23904" w:rsidP="002B021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324E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963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324E4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2D51381" w14:textId="77777777" w:rsidR="002B0217" w:rsidRDefault="002B0217" w:rsidP="002B0217">
      <w:pPr>
        <w:spacing w:after="0" w:line="240" w:lineRule="auto"/>
        <w:ind w:right="-567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</w:p>
    <w:p w14:paraId="65AE8D2E" w14:textId="2264210B" w:rsidR="002B0217" w:rsidRPr="007F50CB" w:rsidRDefault="007F50CB" w:rsidP="00706938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  <w:r w:rsidRPr="007F50CB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El nuevo récord de </w:t>
      </w:r>
      <w:r w:rsidR="00F30103" w:rsidRPr="007F50CB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D63E0A" w:rsidRPr="007F50CB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Secret Story</w:t>
      </w:r>
      <w:r w:rsidR="00FD5166" w:rsidRPr="007F50CB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: </w:t>
      </w:r>
      <w:r w:rsidR="00B96327" w:rsidRPr="007F50CB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la noche de los secretos</w:t>
      </w:r>
      <w:r w:rsidR="00F30103" w:rsidRPr="007F50CB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</w:t>
      </w:r>
      <w:r w:rsidRPr="007F50CB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y la solidez del </w:t>
      </w:r>
      <w:r w:rsidR="008F2258" w:rsidRPr="007F50CB">
        <w:rPr>
          <w:rFonts w:ascii="Arial" w:eastAsia="Times New Roman" w:hAnsi="Arial" w:cs="Arial"/>
          <w:b/>
          <w:bCs/>
          <w:i/>
          <w:iCs/>
          <w:color w:val="002C5F"/>
          <w:sz w:val="40"/>
          <w:szCs w:val="40"/>
          <w:lang w:eastAsia="es-ES"/>
        </w:rPr>
        <w:t>day time</w:t>
      </w:r>
      <w:r w:rsidRPr="007F50CB">
        <w:rPr>
          <w:rFonts w:ascii="Arial" w:eastAsia="Times New Roman" w:hAnsi="Arial" w:cs="Arial"/>
          <w:b/>
          <w:bCs/>
          <w:i/>
          <w:iCs/>
          <w:color w:val="002C5F"/>
          <w:sz w:val="40"/>
          <w:szCs w:val="40"/>
          <w:lang w:eastAsia="es-ES"/>
        </w:rPr>
        <w:t xml:space="preserve"> </w:t>
      </w:r>
      <w:r w:rsidR="00706938" w:rsidRPr="007F50CB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impulsan a Telecinco al</w:t>
      </w:r>
      <w:r w:rsidR="008F2258" w:rsidRPr="007F50CB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liderazgo </w:t>
      </w:r>
      <w:r w:rsidR="00826803" w:rsidRPr="007F50CB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dominical </w:t>
      </w:r>
    </w:p>
    <w:p w14:paraId="606AB5C2" w14:textId="77777777" w:rsidR="008F2258" w:rsidRDefault="008F2258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CFB95F" w14:textId="73FE3309" w:rsidR="00D63E0A" w:rsidRDefault="007F50CB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reality de Telecinco (14,6% y 1,4M)</w:t>
      </w:r>
      <w:r w:rsidR="002950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32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aventajó en 1 punto a 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oferta de su inmediato competidor (1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432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,6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950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16,9% entre el público de </w:t>
      </w:r>
      <w:r w:rsidR="00432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 a 34 años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frente 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afinidad entre los mayores de 65 años de ‘I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nfiel’ (2</w:t>
      </w:r>
      <w:r w:rsidR="00432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32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B72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894AFAD" w14:textId="2B246693" w:rsidR="00EC37C2" w:rsidRDefault="00EC37C2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E7FF05E" w14:textId="39C85A8C" w:rsidR="00EC37C2" w:rsidRDefault="00EC37C2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21h (12,5% y 1,9M) lideró su franja con su mejor dato en domingo de los últimos 6 meses</w:t>
      </w:r>
    </w:p>
    <w:p w14:paraId="79C0DBFB" w14:textId="55A812B6" w:rsidR="00FD5166" w:rsidRDefault="00FD5166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81EC6C2" w14:textId="4F48605B" w:rsidR="00E35C3F" w:rsidRDefault="004324E4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‘Cuarto Milenio’ (6,3% y 914.000) </w:t>
      </w:r>
      <w:r w:rsidR="00B51D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registró su máximo de temporada </w:t>
      </w:r>
      <w:r w:rsidR="00B51D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aventajó a su directo competidor en el día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4,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51D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así como 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todas las franjas del domingo: mañana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3,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A37A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sobremesa (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4,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tarde (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E35C3F" w:rsidRPr="00E35C3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E35C3F" w:rsidRPr="00E35C3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</w:t>
      </w:r>
      <w:r w:rsidR="00A37A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E35C3F" w:rsidRPr="00E35C3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="00E35C3F" w:rsidRPr="00E35C3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C3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B72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2893A06" w14:textId="21A89D2C" w:rsidR="006678BE" w:rsidRDefault="006678BE" w:rsidP="006678BE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A27607" w14:textId="77777777" w:rsidR="007C3C4F" w:rsidRPr="006501E1" w:rsidRDefault="007C3C4F" w:rsidP="006678BE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376461" w14:textId="5FA846FF" w:rsidR="004D263C" w:rsidRDefault="006501E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501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edición dominical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Secret Story</w:t>
      </w:r>
      <w:r w:rsidR="0060198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37A1D">
        <w:rPr>
          <w:rFonts w:ascii="Arial" w:eastAsia="Times New Roman" w:hAnsi="Arial" w:cs="Arial"/>
          <w:bCs/>
          <w:sz w:val="24"/>
          <w:szCs w:val="24"/>
          <w:lang w:eastAsia="es-ES"/>
        </w:rPr>
        <w:t>presentad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A37A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572C2">
        <w:rPr>
          <w:rFonts w:ascii="Arial" w:eastAsia="Times New Roman" w:hAnsi="Arial" w:cs="Arial"/>
          <w:b/>
          <w:sz w:val="24"/>
          <w:szCs w:val="24"/>
          <w:lang w:eastAsia="es-ES"/>
        </w:rPr>
        <w:t>Jordi González</w:t>
      </w:r>
      <w:r w:rsidR="00EC37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batió </w:t>
      </w:r>
      <w:r w:rsidR="008245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 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>su récord de temporada y selló</w:t>
      </w:r>
      <w:r w:rsidR="009E2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nueva v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ictoria de su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 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72A5C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72A5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0B30C4" w:rsidRPr="00B5206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share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y 1,</w:t>
      </w:r>
      <w:r w:rsidR="00472A5C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de </w:t>
      </w:r>
      <w:r w:rsidR="007450C9">
        <w:rPr>
          <w:rFonts w:ascii="Arial" w:eastAsia="Times New Roman" w:hAnsi="Arial" w:cs="Arial"/>
          <w:b/>
          <w:sz w:val="24"/>
          <w:szCs w:val="24"/>
          <w:lang w:eastAsia="es-ES"/>
        </w:rPr>
        <w:t>seguidores</w:t>
      </w:r>
      <w:r w:rsidR="000B30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Mejoró sus cifras en </w:t>
      </w:r>
      <w:r w:rsidR="00AB0707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</w:t>
      </w:r>
      <w:r w:rsidR="00464F12">
        <w:rPr>
          <w:rFonts w:ascii="Arial" w:eastAsia="Times New Roman" w:hAnsi="Arial" w:cs="Arial"/>
          <w:bCs/>
          <w:sz w:val="24"/>
          <w:szCs w:val="24"/>
          <w:lang w:eastAsia="es-ES"/>
        </w:rPr>
        <w:t>registrar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%, con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seguimiento mayoritario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los espectadores de </w:t>
      </w:r>
      <w:r w:rsidR="0060198B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72A5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472A5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4 años (</w:t>
      </w:r>
      <w:r w:rsidR="005572C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72A5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72A5C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FDB5963" w14:textId="77777777" w:rsidR="004D263C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435E23E4" w:rsidR="00906F98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al resto de sus competidores, 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superando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>,6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Antena 3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‘In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>fiel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>desce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ndió hasta el 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en los públicos más dinámicos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>, con sus mayores seguidores entre los 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spectadores mayores de 65 años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D5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Superó la media nacional 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 w:rsidR="00472A5C" w:rsidRPr="00472A5C">
        <w:rPr>
          <w:rFonts w:ascii="Arial" w:eastAsia="Times New Roman" w:hAnsi="Arial" w:cs="Arial"/>
          <w:b/>
          <w:sz w:val="24"/>
          <w:szCs w:val="24"/>
          <w:lang w:eastAsia="es-ES"/>
        </w:rPr>
        <w:t>Canarias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(17,5%), </w:t>
      </w:r>
      <w:r w:rsidR="00E97699" w:rsidRPr="00472A5C">
        <w:rPr>
          <w:rFonts w:ascii="Arial" w:eastAsia="Times New Roman" w:hAnsi="Arial" w:cs="Arial"/>
          <w:b/>
          <w:sz w:val="24"/>
          <w:szCs w:val="24"/>
          <w:lang w:eastAsia="es-ES"/>
        </w:rPr>
        <w:t>Madrid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472A5C" w:rsidRPr="00472A5C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(16,1%), </w:t>
      </w:r>
      <w:r w:rsidR="00697A8C" w:rsidRPr="00472A5C">
        <w:rPr>
          <w:rFonts w:ascii="Arial" w:eastAsia="Times New Roman" w:hAnsi="Arial" w:cs="Arial"/>
          <w:b/>
          <w:sz w:val="24"/>
          <w:szCs w:val="24"/>
          <w:lang w:eastAsia="es-ES"/>
        </w:rPr>
        <w:t>Murcia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,5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472A5C" w:rsidRPr="00472A5C">
        <w:rPr>
          <w:rFonts w:ascii="Arial" w:eastAsia="Times New Roman" w:hAnsi="Arial" w:cs="Arial"/>
          <w:b/>
          <w:sz w:val="24"/>
          <w:szCs w:val="24"/>
          <w:lang w:eastAsia="es-ES"/>
        </w:rPr>
        <w:t>Castilla y León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(15,4%), </w:t>
      </w:r>
      <w:r w:rsidR="00472A5C" w:rsidRPr="00472A5C">
        <w:rPr>
          <w:rFonts w:ascii="Arial" w:eastAsia="Times New Roman" w:hAnsi="Arial" w:cs="Arial"/>
          <w:b/>
          <w:sz w:val="24"/>
          <w:szCs w:val="24"/>
          <w:lang w:eastAsia="es-ES"/>
        </w:rPr>
        <w:t>Euskadi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(14,8%) y e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el denominado </w:t>
      </w:r>
      <w:r w:rsidR="0016408C" w:rsidRPr="00472A5C">
        <w:rPr>
          <w:rFonts w:ascii="Arial" w:eastAsia="Times New Roman" w:hAnsi="Arial" w:cs="Arial"/>
          <w:b/>
          <w:sz w:val="24"/>
          <w:szCs w:val="24"/>
          <w:lang w:eastAsia="es-ES"/>
        </w:rPr>
        <w:t>‘Resto’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72A5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14:paraId="1F046D79" w14:textId="5616BC8C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14C1EE6" w14:textId="60BB18AB" w:rsidR="00564B80" w:rsidRDefault="00564B80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564B80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(12,5% y 1,9M) fue la oferta favorita para los espectadores en su banda de emisión tras obtener su mejor marca en domingo de los últimos 6 meses. </w:t>
      </w:r>
    </w:p>
    <w:p w14:paraId="5CB1730A" w14:textId="77777777" w:rsidR="00564B80" w:rsidRDefault="00564B80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568A5D" w14:textId="286D7F25" w:rsidR="00B83A31" w:rsidRDefault="00B83A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 time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destacaron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liderazgos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E97699">
        <w:rPr>
          <w:rFonts w:ascii="Arial" w:eastAsia="Times New Roman" w:hAnsi="Arial" w:cs="Arial"/>
          <w:b/>
          <w:sz w:val="24"/>
          <w:szCs w:val="24"/>
          <w:lang w:eastAsia="es-ES"/>
        </w:rPr>
        <w:t>Socialite by Cazamariposas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2450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2450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82450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2450F">
        <w:rPr>
          <w:rFonts w:ascii="Arial" w:eastAsia="Times New Roman" w:hAnsi="Arial" w:cs="Arial"/>
          <w:bCs/>
          <w:sz w:val="24"/>
          <w:szCs w:val="24"/>
          <w:lang w:eastAsia="es-ES"/>
        </w:rPr>
        <w:t>con casi 3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8245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ventaja sobre el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2450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 w:rsidR="00B03F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E97699">
        <w:rPr>
          <w:rFonts w:ascii="Arial" w:eastAsia="Times New Roman" w:hAnsi="Arial" w:cs="Arial"/>
          <w:b/>
          <w:sz w:val="24"/>
          <w:szCs w:val="24"/>
          <w:lang w:eastAsia="es-ES"/>
        </w:rPr>
        <w:t>Viva la vida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2450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2450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82450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B03F10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26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</w:t>
      </w:r>
      <w:r w:rsidR="008245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2450F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2450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</w:p>
    <w:p w14:paraId="047647BB" w14:textId="097BD18E" w:rsidR="009D232A" w:rsidRDefault="009D232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D72EB6" w14:textId="0E8E5CCC" w:rsidR="002B0217" w:rsidRDefault="00932E1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Telecinco fue ayer la televisión más vista del domingo con un 1</w:t>
      </w:r>
      <w:r w:rsidR="00517052">
        <w:rPr>
          <w:rFonts w:ascii="Arial" w:eastAsia="Times New Roman" w:hAnsi="Arial" w:cs="Arial"/>
          <w:bCs/>
          <w:sz w:val="24"/>
          <w:szCs w:val="24"/>
          <w:lang w:eastAsia="es-ES"/>
        </w:rPr>
        <w:t>3,5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212EA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1705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1705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por delante de Antena 3 (1</w:t>
      </w:r>
      <w:r w:rsidR="0051705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1705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a la que </w:t>
      </w:r>
      <w:r w:rsidR="00212EA9">
        <w:rPr>
          <w:rFonts w:ascii="Arial" w:eastAsia="Times New Roman" w:hAnsi="Arial" w:cs="Arial"/>
          <w:bCs/>
          <w:sz w:val="24"/>
          <w:szCs w:val="24"/>
          <w:lang w:eastAsia="es-ES"/>
        </w:rPr>
        <w:t>aventajó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franjas de mañana (14</w:t>
      </w:r>
      <w:r w:rsidR="00517052">
        <w:rPr>
          <w:rFonts w:ascii="Arial" w:eastAsia="Times New Roman" w:hAnsi="Arial" w:cs="Arial"/>
          <w:bCs/>
          <w:sz w:val="24"/>
          <w:szCs w:val="24"/>
          <w:lang w:eastAsia="es-ES"/>
        </w:rPr>
        <w:t>,6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2665DB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665D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%), tarde (1</w:t>
      </w:r>
      <w:r w:rsidR="002665D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665D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vs.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665DB">
        <w:rPr>
          <w:rFonts w:ascii="Arial" w:eastAsia="Times New Roman" w:hAnsi="Arial" w:cs="Arial"/>
          <w:bCs/>
          <w:sz w:val="24"/>
          <w:szCs w:val="24"/>
          <w:lang w:eastAsia="es-ES"/>
        </w:rPr>
        <w:t>10,2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932E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2665DB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665DB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2665DB">
        <w:rPr>
          <w:rFonts w:ascii="Arial" w:eastAsia="Times New Roman" w:hAnsi="Arial" w:cs="Arial"/>
          <w:bCs/>
          <w:sz w:val="24"/>
          <w:szCs w:val="24"/>
          <w:lang w:eastAsia="es-ES"/>
        </w:rPr>
        <w:t>11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665D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932E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2665D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665D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2665DB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r w:rsidRPr="00932E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</w:t>
      </w:r>
      <w:r w:rsidR="002665D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665D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vs.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665D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665D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04F5BE00" w14:textId="77777777" w:rsidR="002B0217" w:rsidRDefault="002B021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E7C6C5" w14:textId="77777777" w:rsidR="007F50CB" w:rsidRDefault="007F50CB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</w:p>
    <w:p w14:paraId="0F3BC401" w14:textId="77777777" w:rsidR="007F50CB" w:rsidRDefault="007F50CB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</w:p>
    <w:p w14:paraId="262E3793" w14:textId="42C15DE4" w:rsidR="00564B80" w:rsidRDefault="00383A3A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lastRenderedPageBreak/>
        <w:t>‘</w:t>
      </w:r>
      <w:r w:rsidR="003D0DCE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Cua</w:t>
      </w:r>
      <w:r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rto Milenio’ </w:t>
      </w:r>
      <w:r w:rsidR="00564B80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registra su mejor entrega de la temporada </w:t>
      </w:r>
    </w:p>
    <w:p w14:paraId="444CDAB8" w14:textId="536FA008" w:rsidR="00C3510E" w:rsidRDefault="00C3510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B3103A" w14:textId="1FE7B1AE" w:rsidR="003B72BB" w:rsidRPr="00383A3A" w:rsidRDefault="003F2C64" w:rsidP="003B72B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2C64"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510E" w:rsidRPr="00901E3D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B72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situó ayer por delante de su 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directo </w:t>
      </w:r>
      <w:r w:rsidR="00D735C0">
        <w:rPr>
          <w:rFonts w:ascii="Arial" w:eastAsia="Times New Roman" w:hAnsi="Arial" w:cs="Arial"/>
          <w:bCs/>
          <w:sz w:val="24"/>
          <w:szCs w:val="24"/>
          <w:lang w:eastAsia="es-ES"/>
        </w:rPr>
        <w:t>competidor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B72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 solo en el total día </w:t>
      </w:r>
      <w:r w:rsidR="003B72BB" w:rsidRPr="003B72BB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83A3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B72BB" w:rsidRPr="003B72BB">
        <w:rPr>
          <w:rFonts w:ascii="Arial" w:eastAsia="Times New Roman" w:hAnsi="Arial" w:cs="Arial"/>
          <w:sz w:val="24"/>
          <w:szCs w:val="24"/>
          <w:lang w:eastAsia="es-ES"/>
        </w:rPr>
        <w:t>% vs. 4,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B72BB" w:rsidRPr="003B72B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B72B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F50CB">
        <w:rPr>
          <w:rFonts w:ascii="Arial" w:eastAsia="Times New Roman" w:hAnsi="Arial" w:cs="Arial"/>
          <w:sz w:val="24"/>
          <w:szCs w:val="24"/>
          <w:lang w:eastAsia="es-ES"/>
        </w:rPr>
        <w:t xml:space="preserve">sino </w:t>
      </w:r>
      <w:r w:rsidR="003B72BB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3B72BB" w:rsidRPr="003B72BB">
        <w:rPr>
          <w:rFonts w:ascii="Arial" w:eastAsia="Times New Roman" w:hAnsi="Arial" w:cs="Arial"/>
          <w:sz w:val="24"/>
          <w:szCs w:val="24"/>
          <w:lang w:eastAsia="es-ES"/>
        </w:rPr>
        <w:t xml:space="preserve">en todas las franjas del domingo: 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>mañana (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% vs. 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>%), sobremesa (7% vs. 4,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>%), tarde (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% vs. 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383A3A" w:rsidRPr="00383A3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late night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>% vs. 2,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383A3A" w:rsidRPr="00383A3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 time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6%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383A3A" w:rsidRPr="00383A3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>% vs. 5,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383A3A" w:rsidRPr="00383A3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 comercial (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% vs. 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35C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0938B8A1" w14:textId="6F822A47" w:rsidR="003B72BB" w:rsidRPr="003B72BB" w:rsidRDefault="003B72BB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2E8A55" w14:textId="36EC228E" w:rsidR="004461C7" w:rsidRDefault="004461C7" w:rsidP="004461C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Pr="00383A3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383A3A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2783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2783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D27834">
        <w:rPr>
          <w:rFonts w:ascii="Arial" w:eastAsia="Times New Roman" w:hAnsi="Arial" w:cs="Arial"/>
          <w:bCs/>
          <w:sz w:val="24"/>
          <w:szCs w:val="24"/>
          <w:lang w:eastAsia="es-ES"/>
        </w:rPr>
        <w:t>914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D278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su </w:t>
      </w:r>
      <w:r w:rsidR="00D27834" w:rsidRPr="00B03F10">
        <w:rPr>
          <w:rFonts w:ascii="Arial" w:eastAsia="Times New Roman" w:hAnsi="Arial" w:cs="Arial"/>
          <w:b/>
          <w:sz w:val="24"/>
          <w:szCs w:val="24"/>
          <w:lang w:eastAsia="es-ES"/>
        </w:rPr>
        <w:t>entrega más vista de la temporada</w:t>
      </w:r>
      <w:r w:rsidR="00D278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03F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prácticamente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duplicó a su inmediato competidor en su franja (3,</w:t>
      </w:r>
      <w:r w:rsidR="00D2783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278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al </w:t>
      </w:r>
      <w:r w:rsidR="00D2783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2783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383A3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383A3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D2783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7ABD8F7" w14:textId="77777777" w:rsidR="004461C7" w:rsidRPr="00383A3A" w:rsidRDefault="004461C7" w:rsidP="004461C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1E04A78" w14:textId="705924B9" w:rsidR="00A17838" w:rsidRDefault="003B72BB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Pr="004860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tac</w:t>
      </w:r>
      <w:r w:rsidR="00D27834">
        <w:rPr>
          <w:rFonts w:ascii="Arial" w:eastAsia="Times New Roman" w:hAnsi="Arial" w:cs="Arial"/>
          <w:bCs/>
          <w:sz w:val="24"/>
          <w:szCs w:val="24"/>
          <w:lang w:eastAsia="es-ES"/>
        </w:rPr>
        <w:t>ó 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largometraje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</w:t>
      </w:r>
      <w:r w:rsidR="00D27834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ontenedor </w:t>
      </w:r>
      <w:r w:rsidR="00D27834">
        <w:rPr>
          <w:rFonts w:ascii="Arial" w:eastAsia="Times New Roman" w:hAnsi="Arial" w:cs="Arial"/>
          <w:b/>
          <w:sz w:val="24"/>
          <w:szCs w:val="24"/>
          <w:lang w:eastAsia="es-ES"/>
        </w:rPr>
        <w:t>Home Cinema</w:t>
      </w:r>
      <w:r w:rsidR="00486009" w:rsidRPr="00212E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83A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486009" w:rsidRPr="00212EA9">
        <w:rPr>
          <w:rFonts w:ascii="Arial" w:eastAsia="Times New Roman" w:hAnsi="Arial" w:cs="Arial"/>
          <w:b/>
          <w:sz w:val="24"/>
          <w:szCs w:val="24"/>
          <w:lang w:eastAsia="es-ES"/>
        </w:rPr>
        <w:t>la película ‘</w:t>
      </w:r>
      <w:r w:rsidR="00D278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Star Wars </w:t>
      </w:r>
      <w:r w:rsidR="002065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Episodio </w:t>
      </w:r>
      <w:r w:rsidR="00D27834">
        <w:rPr>
          <w:rFonts w:ascii="Arial" w:eastAsia="Times New Roman" w:hAnsi="Arial" w:cs="Arial"/>
          <w:b/>
          <w:sz w:val="24"/>
          <w:szCs w:val="24"/>
          <w:lang w:eastAsia="es-ES"/>
        </w:rPr>
        <w:t>IV – Una nueva esperanza</w:t>
      </w:r>
      <w:r w:rsidR="00486009" w:rsidRPr="00212E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D278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9,2% y 1M) al </w:t>
      </w:r>
      <w:r w:rsidR="00B03F10">
        <w:rPr>
          <w:rFonts w:ascii="Arial" w:eastAsia="Times New Roman" w:hAnsi="Arial" w:cs="Arial"/>
          <w:bCs/>
          <w:sz w:val="24"/>
          <w:szCs w:val="24"/>
          <w:lang w:eastAsia="es-ES"/>
        </w:rPr>
        <w:t>alcanzar</w:t>
      </w:r>
      <w:r w:rsidR="00D278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="00D27834" w:rsidRPr="00B03F10">
        <w:rPr>
          <w:rFonts w:ascii="Arial" w:eastAsia="Times New Roman" w:hAnsi="Arial" w:cs="Arial"/>
          <w:b/>
          <w:sz w:val="24"/>
          <w:szCs w:val="24"/>
          <w:lang w:eastAsia="es-ES"/>
        </w:rPr>
        <w:t>mejor dato de los último</w:t>
      </w:r>
      <w:r w:rsidR="00A17838" w:rsidRPr="00B03F10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D27834" w:rsidRPr="00B03F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 meses</w:t>
      </w:r>
      <w:r w:rsidR="00D278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aventaj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</w:t>
      </w:r>
      <w:r w:rsidR="00A17838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783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de La Sexta en su</w:t>
      </w:r>
      <w:r w:rsidR="00A178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franja.</w:t>
      </w:r>
      <w:r w:rsidR="00C125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17838">
        <w:rPr>
          <w:rFonts w:ascii="Arial" w:eastAsia="Times New Roman" w:hAnsi="Arial" w:cs="Arial"/>
          <w:bCs/>
          <w:sz w:val="24"/>
          <w:szCs w:val="24"/>
          <w:lang w:eastAsia="es-ES"/>
        </w:rPr>
        <w:t>Incrementó casi 3 puntos hasta anotar un 11,9% entre los públicos más dinámicos.</w:t>
      </w:r>
    </w:p>
    <w:p w14:paraId="0E85D232" w14:textId="77777777" w:rsidR="00C12559" w:rsidRDefault="00C12559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826B0F" w14:textId="4168C978" w:rsidR="00486009" w:rsidRPr="00486009" w:rsidRDefault="002B0217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e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ntre las televisiones temáticas, el domingo estuvo liderado por</w:t>
      </w:r>
      <w:r w:rsidR="00486009" w:rsidRPr="00486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83A3A" w:rsidRPr="00486009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 (2,</w:t>
      </w:r>
      <w:r w:rsidR="00A1783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383A3A" w:rsidRPr="00486009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17838" w:rsidRPr="00A1783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3A3A" w:rsidRPr="00A178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17838" w:rsidRPr="00A17838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1B04C4" w:rsidRPr="00A178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B04C4">
        <w:rPr>
          <w:rFonts w:ascii="Arial" w:eastAsia="Times New Roman" w:hAnsi="Arial" w:cs="Arial"/>
          <w:bCs/>
          <w:sz w:val="24"/>
          <w:szCs w:val="24"/>
          <w:lang w:eastAsia="es-ES"/>
        </w:rPr>
        <w:t>canal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03F10">
        <w:rPr>
          <w:rFonts w:ascii="Arial" w:eastAsia="Times New Roman" w:hAnsi="Arial" w:cs="Arial"/>
          <w:bCs/>
          <w:sz w:val="24"/>
          <w:szCs w:val="24"/>
          <w:lang w:eastAsia="es-ES"/>
        </w:rPr>
        <w:t>con mayor audiencia del día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486009" w:rsidRPr="00486009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A8AB" w14:textId="77777777" w:rsidR="00407A39" w:rsidRDefault="00407A39" w:rsidP="00B23904">
      <w:pPr>
        <w:spacing w:after="0" w:line="240" w:lineRule="auto"/>
      </w:pPr>
      <w:r>
        <w:separator/>
      </w:r>
    </w:p>
  </w:endnote>
  <w:endnote w:type="continuationSeparator" w:id="0">
    <w:p w14:paraId="6CAD88EF" w14:textId="77777777" w:rsidR="00407A39" w:rsidRDefault="00407A3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8B1D" w14:textId="77777777" w:rsidR="00407A39" w:rsidRDefault="00407A39" w:rsidP="00B23904">
      <w:pPr>
        <w:spacing w:after="0" w:line="240" w:lineRule="auto"/>
      </w:pPr>
      <w:r>
        <w:separator/>
      </w:r>
    </w:p>
  </w:footnote>
  <w:footnote w:type="continuationSeparator" w:id="0">
    <w:p w14:paraId="2D7D309F" w14:textId="77777777" w:rsidR="00407A39" w:rsidRDefault="00407A3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54C75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435D"/>
    <w:rsid w:val="000A6FDF"/>
    <w:rsid w:val="000B1998"/>
    <w:rsid w:val="000B30C4"/>
    <w:rsid w:val="000B61EE"/>
    <w:rsid w:val="000C104C"/>
    <w:rsid w:val="000C1E67"/>
    <w:rsid w:val="000C746D"/>
    <w:rsid w:val="000D0F01"/>
    <w:rsid w:val="000D13D9"/>
    <w:rsid w:val="000D2CB5"/>
    <w:rsid w:val="000D5284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2A37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4C4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539"/>
    <w:rsid w:val="00206A58"/>
    <w:rsid w:val="00206DB0"/>
    <w:rsid w:val="00210DF9"/>
    <w:rsid w:val="00212EA9"/>
    <w:rsid w:val="00220B89"/>
    <w:rsid w:val="00226FE2"/>
    <w:rsid w:val="0023136F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5DB"/>
    <w:rsid w:val="002669E2"/>
    <w:rsid w:val="0027542D"/>
    <w:rsid w:val="002774D1"/>
    <w:rsid w:val="0028299A"/>
    <w:rsid w:val="0028386E"/>
    <w:rsid w:val="00286728"/>
    <w:rsid w:val="0029087A"/>
    <w:rsid w:val="002921C5"/>
    <w:rsid w:val="00295029"/>
    <w:rsid w:val="002A63C6"/>
    <w:rsid w:val="002A72DB"/>
    <w:rsid w:val="002B0217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3A3A"/>
    <w:rsid w:val="0038435F"/>
    <w:rsid w:val="003851D9"/>
    <w:rsid w:val="0039595E"/>
    <w:rsid w:val="00397619"/>
    <w:rsid w:val="003A2587"/>
    <w:rsid w:val="003A45CD"/>
    <w:rsid w:val="003A53B6"/>
    <w:rsid w:val="003A689F"/>
    <w:rsid w:val="003B72BB"/>
    <w:rsid w:val="003B77E4"/>
    <w:rsid w:val="003C1B11"/>
    <w:rsid w:val="003C4280"/>
    <w:rsid w:val="003D0960"/>
    <w:rsid w:val="003D0DCE"/>
    <w:rsid w:val="003D10B4"/>
    <w:rsid w:val="003D2774"/>
    <w:rsid w:val="003E01E0"/>
    <w:rsid w:val="003E0BC9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07A39"/>
    <w:rsid w:val="004127F6"/>
    <w:rsid w:val="00421360"/>
    <w:rsid w:val="0043079B"/>
    <w:rsid w:val="00432241"/>
    <w:rsid w:val="004324E4"/>
    <w:rsid w:val="00433C11"/>
    <w:rsid w:val="0043436B"/>
    <w:rsid w:val="00436182"/>
    <w:rsid w:val="00440FC0"/>
    <w:rsid w:val="00442AF8"/>
    <w:rsid w:val="00443360"/>
    <w:rsid w:val="00445109"/>
    <w:rsid w:val="004461C7"/>
    <w:rsid w:val="00450DD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2A30"/>
    <w:rsid w:val="00472A5C"/>
    <w:rsid w:val="004756C6"/>
    <w:rsid w:val="0048295B"/>
    <w:rsid w:val="00482F77"/>
    <w:rsid w:val="004857B8"/>
    <w:rsid w:val="004858FF"/>
    <w:rsid w:val="00485EF8"/>
    <w:rsid w:val="00486009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63C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17052"/>
    <w:rsid w:val="00520AD5"/>
    <w:rsid w:val="00534049"/>
    <w:rsid w:val="0053606C"/>
    <w:rsid w:val="00543606"/>
    <w:rsid w:val="0054667A"/>
    <w:rsid w:val="005548BD"/>
    <w:rsid w:val="00555C56"/>
    <w:rsid w:val="005572C2"/>
    <w:rsid w:val="00560502"/>
    <w:rsid w:val="00564B80"/>
    <w:rsid w:val="00573195"/>
    <w:rsid w:val="00576D59"/>
    <w:rsid w:val="00580129"/>
    <w:rsid w:val="00582133"/>
    <w:rsid w:val="00584604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07E2B"/>
    <w:rsid w:val="006149A5"/>
    <w:rsid w:val="00616157"/>
    <w:rsid w:val="00622499"/>
    <w:rsid w:val="006277FB"/>
    <w:rsid w:val="006330E5"/>
    <w:rsid w:val="0064291C"/>
    <w:rsid w:val="00642ADC"/>
    <w:rsid w:val="00642E5E"/>
    <w:rsid w:val="006501E1"/>
    <w:rsid w:val="006502A2"/>
    <w:rsid w:val="00653479"/>
    <w:rsid w:val="006535FC"/>
    <w:rsid w:val="00653C39"/>
    <w:rsid w:val="00654AEB"/>
    <w:rsid w:val="00657610"/>
    <w:rsid w:val="00661207"/>
    <w:rsid w:val="00663C4C"/>
    <w:rsid w:val="00665406"/>
    <w:rsid w:val="006678BE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97A8C"/>
    <w:rsid w:val="006A1867"/>
    <w:rsid w:val="006A7620"/>
    <w:rsid w:val="006A782A"/>
    <w:rsid w:val="006B4FF6"/>
    <w:rsid w:val="006B622B"/>
    <w:rsid w:val="006C17DD"/>
    <w:rsid w:val="006C7BE5"/>
    <w:rsid w:val="006D2D09"/>
    <w:rsid w:val="006E2F0B"/>
    <w:rsid w:val="006E3B24"/>
    <w:rsid w:val="006E4DCC"/>
    <w:rsid w:val="006E54A2"/>
    <w:rsid w:val="006E5793"/>
    <w:rsid w:val="006E707B"/>
    <w:rsid w:val="006F43A9"/>
    <w:rsid w:val="006F4E9B"/>
    <w:rsid w:val="006F72D0"/>
    <w:rsid w:val="006F7808"/>
    <w:rsid w:val="006F7EF2"/>
    <w:rsid w:val="0070380F"/>
    <w:rsid w:val="00704381"/>
    <w:rsid w:val="00706938"/>
    <w:rsid w:val="00710EB4"/>
    <w:rsid w:val="00712FB3"/>
    <w:rsid w:val="007140A4"/>
    <w:rsid w:val="00721D0E"/>
    <w:rsid w:val="00724F0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3C4F"/>
    <w:rsid w:val="007C4060"/>
    <w:rsid w:val="007D0E85"/>
    <w:rsid w:val="007D254A"/>
    <w:rsid w:val="007D28EC"/>
    <w:rsid w:val="007F295E"/>
    <w:rsid w:val="007F2FD5"/>
    <w:rsid w:val="007F4ABA"/>
    <w:rsid w:val="007F50CB"/>
    <w:rsid w:val="007F5632"/>
    <w:rsid w:val="007F7AED"/>
    <w:rsid w:val="0082450F"/>
    <w:rsid w:val="008250A9"/>
    <w:rsid w:val="008251B8"/>
    <w:rsid w:val="00826803"/>
    <w:rsid w:val="00826E00"/>
    <w:rsid w:val="00832D14"/>
    <w:rsid w:val="008337DC"/>
    <w:rsid w:val="00833B61"/>
    <w:rsid w:val="008361FA"/>
    <w:rsid w:val="00845C83"/>
    <w:rsid w:val="008512B9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4771"/>
    <w:rsid w:val="00875656"/>
    <w:rsid w:val="008769E5"/>
    <w:rsid w:val="00880851"/>
    <w:rsid w:val="00886B30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258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1B"/>
    <w:rsid w:val="00932E20"/>
    <w:rsid w:val="00942F1E"/>
    <w:rsid w:val="00952E8D"/>
    <w:rsid w:val="009613D2"/>
    <w:rsid w:val="009624A0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8BF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17838"/>
    <w:rsid w:val="00A23006"/>
    <w:rsid w:val="00A260BF"/>
    <w:rsid w:val="00A312AE"/>
    <w:rsid w:val="00A33D60"/>
    <w:rsid w:val="00A340B7"/>
    <w:rsid w:val="00A37A1D"/>
    <w:rsid w:val="00A423BC"/>
    <w:rsid w:val="00A5381C"/>
    <w:rsid w:val="00A551AB"/>
    <w:rsid w:val="00A57AE8"/>
    <w:rsid w:val="00A611FF"/>
    <w:rsid w:val="00A61A48"/>
    <w:rsid w:val="00A704DA"/>
    <w:rsid w:val="00A70613"/>
    <w:rsid w:val="00A70DD3"/>
    <w:rsid w:val="00A74DAB"/>
    <w:rsid w:val="00A77A6B"/>
    <w:rsid w:val="00A77B1D"/>
    <w:rsid w:val="00A904D1"/>
    <w:rsid w:val="00A905E3"/>
    <w:rsid w:val="00A95B9B"/>
    <w:rsid w:val="00A97A39"/>
    <w:rsid w:val="00AA68FB"/>
    <w:rsid w:val="00AB0707"/>
    <w:rsid w:val="00AB0BC7"/>
    <w:rsid w:val="00AB13B0"/>
    <w:rsid w:val="00AB5588"/>
    <w:rsid w:val="00AC4F38"/>
    <w:rsid w:val="00AC5A05"/>
    <w:rsid w:val="00AC5BEC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69F9"/>
    <w:rsid w:val="00AF763A"/>
    <w:rsid w:val="00B023B3"/>
    <w:rsid w:val="00B026FA"/>
    <w:rsid w:val="00B03B45"/>
    <w:rsid w:val="00B03F10"/>
    <w:rsid w:val="00B108BD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468DB"/>
    <w:rsid w:val="00B50D90"/>
    <w:rsid w:val="00B50F6E"/>
    <w:rsid w:val="00B51D46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9DC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6327"/>
    <w:rsid w:val="00B9763A"/>
    <w:rsid w:val="00BA65AD"/>
    <w:rsid w:val="00BB09B6"/>
    <w:rsid w:val="00BB5AD2"/>
    <w:rsid w:val="00BB5DFF"/>
    <w:rsid w:val="00BB7D73"/>
    <w:rsid w:val="00BC15F0"/>
    <w:rsid w:val="00BC27C4"/>
    <w:rsid w:val="00BC371B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439"/>
    <w:rsid w:val="00C04707"/>
    <w:rsid w:val="00C10669"/>
    <w:rsid w:val="00C10FFA"/>
    <w:rsid w:val="00C12559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3C77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6A7A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27834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735C0"/>
    <w:rsid w:val="00D80A52"/>
    <w:rsid w:val="00D80DDF"/>
    <w:rsid w:val="00D8378B"/>
    <w:rsid w:val="00D86D61"/>
    <w:rsid w:val="00D91950"/>
    <w:rsid w:val="00D9481D"/>
    <w:rsid w:val="00D967DA"/>
    <w:rsid w:val="00D968F0"/>
    <w:rsid w:val="00DA36C4"/>
    <w:rsid w:val="00DA67DB"/>
    <w:rsid w:val="00DB51E1"/>
    <w:rsid w:val="00DC051A"/>
    <w:rsid w:val="00DC79F4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122AE"/>
    <w:rsid w:val="00E2190B"/>
    <w:rsid w:val="00E23201"/>
    <w:rsid w:val="00E2473D"/>
    <w:rsid w:val="00E2682C"/>
    <w:rsid w:val="00E30532"/>
    <w:rsid w:val="00E331FA"/>
    <w:rsid w:val="00E350AF"/>
    <w:rsid w:val="00E35934"/>
    <w:rsid w:val="00E35C3F"/>
    <w:rsid w:val="00E42ADC"/>
    <w:rsid w:val="00E43882"/>
    <w:rsid w:val="00E46F7B"/>
    <w:rsid w:val="00E543B5"/>
    <w:rsid w:val="00E6352E"/>
    <w:rsid w:val="00E6473F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699"/>
    <w:rsid w:val="00E97DCC"/>
    <w:rsid w:val="00EA6962"/>
    <w:rsid w:val="00EB09FB"/>
    <w:rsid w:val="00EB1D5B"/>
    <w:rsid w:val="00EB26CC"/>
    <w:rsid w:val="00EB31D3"/>
    <w:rsid w:val="00EC37C2"/>
    <w:rsid w:val="00EC54CA"/>
    <w:rsid w:val="00EC596B"/>
    <w:rsid w:val="00ED1D75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5166"/>
    <w:rsid w:val="00FD7F8C"/>
    <w:rsid w:val="00FE1616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2021-11-08T10:44:00Z</dcterms:created>
  <dcterms:modified xsi:type="dcterms:W3CDTF">2021-11-08T10:44:00Z</dcterms:modified>
</cp:coreProperties>
</file>