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6AB5B" w14:textId="77777777" w:rsidR="007C3C4F" w:rsidRDefault="007C3C4F" w:rsidP="007C3C4F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BF0888" w14:textId="47195B6C" w:rsidR="002B0217" w:rsidRDefault="00B23904" w:rsidP="002B021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5793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B963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2D51381" w14:textId="77777777" w:rsidR="002B0217" w:rsidRDefault="002B0217" w:rsidP="002B0217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104DAC89" w14:textId="7311BE2C" w:rsidR="00FD5166" w:rsidRPr="002B0217" w:rsidRDefault="002B0217" w:rsidP="007C3C4F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</w:pPr>
      <w:r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Nuevo liderazgo de </w:t>
      </w:r>
      <w:r w:rsidR="00F30103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‘</w:t>
      </w:r>
      <w:proofErr w:type="spellStart"/>
      <w:r w:rsidR="00D63E0A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Secret</w:t>
      </w:r>
      <w:proofErr w:type="spellEnd"/>
      <w:r w:rsidR="00D63E0A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63E0A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Story</w:t>
      </w:r>
      <w:proofErr w:type="spellEnd"/>
      <w:r w:rsidR="00FD5166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: </w:t>
      </w:r>
      <w:r w:rsidR="00B96327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la noche de los secretos</w:t>
      </w:r>
      <w:r w:rsidR="00F30103"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>’</w:t>
      </w:r>
      <w:r w:rsidRPr="002B0217">
        <w:rPr>
          <w:rFonts w:ascii="Arial" w:eastAsia="Times New Roman" w:hAnsi="Arial" w:cs="Arial"/>
          <w:b/>
          <w:bCs/>
          <w:color w:val="002C5F"/>
          <w:sz w:val="43"/>
          <w:szCs w:val="43"/>
          <w:lang w:eastAsia="es-ES"/>
        </w:rPr>
        <w:t xml:space="preserve">, que se afianza en su franja con el respaldo mayoritario de los jóvenes </w:t>
      </w:r>
    </w:p>
    <w:p w14:paraId="52EA90D1" w14:textId="6286BA86" w:rsidR="004D263C" w:rsidRDefault="004D263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AE8D2E" w14:textId="77777777" w:rsidR="002B0217" w:rsidRDefault="002B021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E819979" w14:textId="38AF8B78" w:rsidR="00B96327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oferta de su inmediato competidor (1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en su banda de emisión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0A671120" w14:textId="77777777" w:rsidR="00B96327" w:rsidRDefault="00B9632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083C0690" w:rsidR="00D63E0A" w:rsidRDefault="00CD6A7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1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los públicos centrales</w:t>
      </w:r>
      <w:r w:rsidR="004461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especial </w:t>
      </w:r>
      <w:r w:rsidR="00573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seguimiento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 (1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frente al público más afín de ‘Infiel’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mayores de 65 años (21,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1EC6C2" w14:textId="5DAE62EE" w:rsidR="00E35C3F" w:rsidRDefault="00A37A1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a su directo competidor en el día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5,7%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y en todas las franjas del domingo: mañana (4,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sobremesa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4,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4,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proofErr w:type="spell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proofErr w:type="gram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57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2893A06" w14:textId="21A89D2C" w:rsidR="006678BE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A27607" w14:textId="77777777" w:rsidR="007C3C4F" w:rsidRPr="006501E1" w:rsidRDefault="007C3C4F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76461" w14:textId="79A7014D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01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dominical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>presentad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9E28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E28BF">
        <w:rPr>
          <w:rFonts w:ascii="Arial" w:eastAsia="Times New Roman" w:hAnsi="Arial" w:cs="Arial"/>
          <w:bCs/>
          <w:sz w:val="24"/>
          <w:szCs w:val="24"/>
          <w:lang w:eastAsia="es-ES"/>
        </w:rPr>
        <w:t>afianzó su liderazgo con una nueva 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ictoria de 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anotar su tercera </w:t>
      </w:r>
      <w:r w:rsidR="005572C2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mejor marca de la temporada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y 1,</w:t>
      </w:r>
      <w:r w:rsidR="00697A8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Mejoró sus cifras en </w:t>
      </w:r>
      <w:proofErr w:type="gramStart"/>
      <w:r w:rsidR="00AB0707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%, con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seguimiento mayoritario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97A8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078E1DC8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al resto de sus competidores,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Antena 3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‘In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fiel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desce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ndió hasta el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en los públicos más dinámicos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, con sus mayores seguidores entre los 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spectadores mayores de 65 años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(21,3%)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Madrid (1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Murcia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Canarias (1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5,9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Aragón (1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7A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168C2A33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1,2M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su </w:t>
      </w:r>
      <w:r w:rsidR="00E43882" w:rsidRPr="002B0217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vista de la temporada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en 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más de 4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Viva la vida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adversario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3C7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047647BB" w14:textId="0CDD88FA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DC8EDA" w14:textId="4A77ADC5" w:rsidR="00932E1B" w:rsidRDefault="00932E1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ayer la televisión más vista del domingo con un 12% de </w:t>
      </w:r>
      <w:r w:rsidRPr="00212E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1,5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por delante de Antena 3 (1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0,5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a la que </w:t>
      </w:r>
      <w:r w:rsidR="00212EA9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mañana (14% vs.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tarde (1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,3% vs.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6,4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,8%), </w:t>
      </w:r>
      <w:proofErr w:type="spell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proofErr w:type="gram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1,1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vs.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4388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76D293B" w14:textId="335A0A77" w:rsidR="007C3C4F" w:rsidRDefault="007C3C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503F77" w14:textId="419F6F9A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8949B4" w14:textId="59DD414D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1F08AF" w14:textId="799CCFA7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D72EB6" w14:textId="4D27A51A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F5BE00" w14:textId="77777777" w:rsidR="002B0217" w:rsidRDefault="002B021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4C4D31" w14:textId="77777777" w:rsidR="00383A3A" w:rsidRDefault="00383A3A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lastRenderedPageBreak/>
        <w:t>‘</w:t>
      </w:r>
      <w:r w:rsidR="003D0DCE"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>Cua</w:t>
      </w: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t xml:space="preserve">rto Milenio’ duplica la oferta de su inmediato competidor 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3103A" w14:textId="21099D07" w:rsidR="003B72BB" w:rsidRPr="00383A3A" w:rsidRDefault="003F2C64" w:rsidP="003B72B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7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ayer por delante de su 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 adversario, </w:t>
      </w:r>
      <w:r w:rsidR="003B7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solo en el total día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83A3A">
        <w:rPr>
          <w:rFonts w:ascii="Arial" w:eastAsia="Times New Roman" w:hAnsi="Arial" w:cs="Arial"/>
          <w:sz w:val="24"/>
          <w:szCs w:val="24"/>
          <w:lang w:eastAsia="es-ES"/>
        </w:rPr>
        <w:t>5,7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% vs. 4,</w:t>
      </w:r>
      <w:r w:rsidR="00383A3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B72BB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en todas las franjas del domingo: 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mañana (4,6% vs. 3,2%), sobremesa (4,7% vs. 4,6%), tarde (5% vs. 4,9%),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(10,3% vs. 2,3%), </w:t>
      </w:r>
      <w:proofErr w:type="spellStart"/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(9,7% vs. 4%), </w:t>
      </w:r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(6,2% vs. 5,6%) y </w:t>
      </w:r>
      <w:proofErr w:type="gramStart"/>
      <w:r w:rsidR="00383A3A" w:rsidRPr="00383A3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383A3A" w:rsidRPr="00383A3A">
        <w:rPr>
          <w:rFonts w:ascii="Arial" w:eastAsia="Times New Roman" w:hAnsi="Arial" w:cs="Arial"/>
          <w:sz w:val="24"/>
          <w:szCs w:val="24"/>
          <w:lang w:eastAsia="es-ES"/>
        </w:rPr>
        <w:t xml:space="preserve"> comercial (6,9% vs. 5,1%).</w:t>
      </w:r>
    </w:p>
    <w:p w14:paraId="0938B8A1" w14:textId="6F822A47" w:rsidR="003B72BB" w:rsidRPr="003B72BB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2E8A55" w14:textId="587DA83C" w:rsidR="004461C7" w:rsidRDefault="004461C7" w:rsidP="004461C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83A3A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(8,6% y 743.000) duplicó a su inmediato competidor en su franja (3,2%) y creció al 11,2% de </w:t>
      </w:r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Pr="00383A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sus </w:t>
      </w:r>
      <w:r w:rsidRPr="00383A3A">
        <w:rPr>
          <w:rFonts w:ascii="Arial" w:eastAsia="Times New Roman" w:hAnsi="Arial" w:cs="Arial"/>
          <w:b/>
          <w:sz w:val="24"/>
          <w:szCs w:val="24"/>
          <w:lang w:eastAsia="es-ES"/>
        </w:rPr>
        <w:t>mayores seguidores entre los espectadores de 25 a 34 años (11,5%).</w:t>
      </w:r>
    </w:p>
    <w:p w14:paraId="67ABD8F7" w14:textId="77777777" w:rsidR="004461C7" w:rsidRPr="00383A3A" w:rsidRDefault="004461C7" w:rsidP="004461C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4664492" w14:textId="3BD9091D" w:rsidR="00C12559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tac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aron 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largometraje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del contenedor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Lady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Killer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B02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‘Secuestrado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5,3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proofErr w:type="spellStart"/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Blockbuster, 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la película ‘</w:t>
      </w:r>
      <w:proofErr w:type="spellStart"/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Mexican</w:t>
      </w:r>
      <w:proofErr w:type="spellEnd"/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, al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aventaj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2,9% y al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% de la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Sexta en su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respectivas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383A3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igual forma, el partido de fútbol de la </w:t>
      </w:r>
      <w:r w:rsidR="00C12559" w:rsidRPr="00C12559">
        <w:rPr>
          <w:rFonts w:ascii="Arial" w:eastAsia="Times New Roman" w:hAnsi="Arial" w:cs="Arial"/>
          <w:b/>
          <w:sz w:val="24"/>
          <w:szCs w:val="24"/>
          <w:lang w:eastAsia="es-ES"/>
        </w:rPr>
        <w:t>liga francesa entre el Olympique Marsella y París</w:t>
      </w:r>
      <w:r w:rsidR="00C12559" w:rsidRP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12559" w:rsidRPr="00C12559">
        <w:rPr>
          <w:rFonts w:ascii="Arial" w:eastAsia="Times New Roman" w:hAnsi="Arial" w:cs="Arial"/>
          <w:bCs/>
          <w:sz w:val="24"/>
          <w:szCs w:val="24"/>
          <w:lang w:eastAsia="es-ES"/>
        </w:rPr>
        <w:t>6,3% y 951.000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12559" w:rsidRP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C12559" w:rsidRPr="00C12559">
        <w:rPr>
          <w:rFonts w:ascii="Arial" w:eastAsia="Times New Roman" w:hAnsi="Arial" w:cs="Arial"/>
          <w:bCs/>
          <w:sz w:val="24"/>
          <w:szCs w:val="24"/>
          <w:lang w:eastAsia="es-ES"/>
        </w:rPr>
        <w:t>se imp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>uso</w:t>
      </w:r>
      <w:r w:rsidR="00C12559" w:rsidRPr="00C125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6% de La Sexta en </w:t>
      </w:r>
      <w:r w:rsidR="00C12559">
        <w:rPr>
          <w:rFonts w:ascii="Arial" w:eastAsia="Times New Roman" w:hAnsi="Arial" w:cs="Arial"/>
          <w:bCs/>
          <w:sz w:val="24"/>
          <w:szCs w:val="24"/>
          <w:lang w:eastAsia="es-ES"/>
        </w:rPr>
        <w:t>su banda de emisión.</w:t>
      </w:r>
    </w:p>
    <w:p w14:paraId="0E85D232" w14:textId="77777777" w:rsidR="00C12559" w:rsidRDefault="00C12559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826B0F" w14:textId="7919B0DC" w:rsidR="00486009" w:rsidRPr="00486009" w:rsidRDefault="002B0217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ntre las televisiones temáticas, el domingo estuvo liderado por</w:t>
      </w:r>
      <w:r w:rsidR="00486009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Energy (2,5%)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86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3A3A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383A3A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383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Divinity (2,2%)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como l</w:t>
      </w:r>
      <w:r w:rsidR="001B04C4">
        <w:rPr>
          <w:rFonts w:ascii="Arial" w:eastAsia="Times New Roman" w:hAnsi="Arial" w:cs="Arial"/>
          <w:bCs/>
          <w:sz w:val="24"/>
          <w:szCs w:val="24"/>
          <w:lang w:eastAsia="es-ES"/>
        </w:rPr>
        <w:t>os canales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</w:t>
      </w:r>
      <w:r w:rsidR="001B04C4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s.</w:t>
      </w:r>
    </w:p>
    <w:sectPr w:rsidR="00486009" w:rsidRPr="00486009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998C" w14:textId="77777777" w:rsidR="00B839DC" w:rsidRDefault="00B839DC" w:rsidP="00B23904">
      <w:pPr>
        <w:spacing w:after="0" w:line="240" w:lineRule="auto"/>
      </w:pPr>
      <w:r>
        <w:separator/>
      </w:r>
    </w:p>
  </w:endnote>
  <w:endnote w:type="continuationSeparator" w:id="0">
    <w:p w14:paraId="6E6F3586" w14:textId="77777777" w:rsidR="00B839DC" w:rsidRDefault="00B839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21C" w14:textId="77777777" w:rsidR="00B839DC" w:rsidRDefault="00B839DC" w:rsidP="00B23904">
      <w:pPr>
        <w:spacing w:after="0" w:line="240" w:lineRule="auto"/>
      </w:pPr>
      <w:r>
        <w:separator/>
      </w:r>
    </w:p>
  </w:footnote>
  <w:footnote w:type="continuationSeparator" w:id="0">
    <w:p w14:paraId="69C167EF" w14:textId="77777777" w:rsidR="00B839DC" w:rsidRDefault="00B839D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435D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2A37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4C4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12EA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0217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3A"/>
    <w:rsid w:val="0038435F"/>
    <w:rsid w:val="003851D9"/>
    <w:rsid w:val="0039595E"/>
    <w:rsid w:val="00397619"/>
    <w:rsid w:val="003A2587"/>
    <w:rsid w:val="003A45CD"/>
    <w:rsid w:val="003A53B6"/>
    <w:rsid w:val="003A689F"/>
    <w:rsid w:val="003B72BB"/>
    <w:rsid w:val="003B77E4"/>
    <w:rsid w:val="003C1B11"/>
    <w:rsid w:val="003C4280"/>
    <w:rsid w:val="003D0960"/>
    <w:rsid w:val="003D0DCE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461C7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86009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572C2"/>
    <w:rsid w:val="00560502"/>
    <w:rsid w:val="00573195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97A8C"/>
    <w:rsid w:val="006A1867"/>
    <w:rsid w:val="006A7620"/>
    <w:rsid w:val="006A782A"/>
    <w:rsid w:val="006B4FF6"/>
    <w:rsid w:val="006B622B"/>
    <w:rsid w:val="006C17DD"/>
    <w:rsid w:val="006C7BE5"/>
    <w:rsid w:val="006D2D09"/>
    <w:rsid w:val="006E2F0B"/>
    <w:rsid w:val="006E3B24"/>
    <w:rsid w:val="006E4DCC"/>
    <w:rsid w:val="006E54A2"/>
    <w:rsid w:val="006E5793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3C4F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4771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1B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8BF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613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707"/>
    <w:rsid w:val="00AB0BC7"/>
    <w:rsid w:val="00AB13B0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9DC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327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559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3C77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1950"/>
    <w:rsid w:val="00D9481D"/>
    <w:rsid w:val="00D967DA"/>
    <w:rsid w:val="00DA36C4"/>
    <w:rsid w:val="00DA67DB"/>
    <w:rsid w:val="00DB51E1"/>
    <w:rsid w:val="00DC051A"/>
    <w:rsid w:val="00DC79F4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35C3F"/>
    <w:rsid w:val="00E42ADC"/>
    <w:rsid w:val="00E43882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699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2021-10-25T09:46:00Z</dcterms:created>
  <dcterms:modified xsi:type="dcterms:W3CDTF">2021-10-25T09:46:00Z</dcterms:modified>
</cp:coreProperties>
</file>