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33E4D" w14:textId="77777777" w:rsidR="00A61D08" w:rsidRDefault="00A61D0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37C375" w14:textId="77777777" w:rsidR="00A61D08" w:rsidRDefault="00A61D0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49F9FBA5" w:rsidR="00D34E7F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1A2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A2742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88EE08" w14:textId="77777777" w:rsidR="005A2742" w:rsidRDefault="005A2742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23606E7" w14:textId="77777777" w:rsidR="005A2742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5A274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El arranque de la nueva temporada de </w:t>
      </w:r>
      <w:r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r w:rsidR="005A2742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Cuarto Mileno</w:t>
      </w:r>
      <w:r w:rsidR="003B1A21"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’ </w:t>
      </w:r>
      <w:r w:rsidR="005A2742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se impone en más de 4 puntos a La Sexta</w:t>
      </w:r>
    </w:p>
    <w:p w14:paraId="66F43A9D" w14:textId="74522329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BDCED" w14:textId="77777777" w:rsidR="00A61D08" w:rsidRDefault="00A61D0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BC4947" w14:textId="5DE13D07" w:rsidR="005A2742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A2742" w:rsidRPr="0062707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782.000 espectadores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de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creció al 11,3% en </w:t>
      </w:r>
      <w:proofErr w:type="gramStart"/>
      <w:r w:rsidR="005A2742" w:rsidRPr="005A27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5F36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siendo la opción favorita de entre todas las televisiones para los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25 a 34 años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(12,9%)</w:t>
      </w:r>
      <w:r w:rsidR="005F36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</w:t>
      </w:r>
    </w:p>
    <w:p w14:paraId="4FE1480C" w14:textId="77777777" w:rsidR="003B1A21" w:rsidRDefault="003B1A21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5D9223" w14:textId="63C229E5" w:rsidR="00E6304B" w:rsidRDefault="00DC2412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022B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día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Sexta (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627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logró superarl</w:t>
      </w:r>
      <w:r w:rsidR="00EF52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5A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ninguna de 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franjas </w:t>
      </w:r>
    </w:p>
    <w:p w14:paraId="5AAED250" w14:textId="5DF71B7B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E61E0A" w14:textId="77777777" w:rsidR="00A61D08" w:rsidRDefault="00A61D0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469D77" w14:textId="2FA400E6" w:rsidR="001A637C" w:rsidRPr="00A235E5" w:rsidRDefault="00167E49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780.000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y un 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arroparon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>anoche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estreno de la nueva temporada de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A2742">
        <w:rPr>
          <w:rFonts w:ascii="Arial" w:eastAsia="Times New Roman" w:hAnsi="Arial" w:cs="Arial"/>
          <w:b/>
          <w:sz w:val="24"/>
          <w:szCs w:val="24"/>
          <w:lang w:eastAsia="es-ES"/>
        </w:rPr>
        <w:t>Cuarto Milenio</w:t>
      </w:r>
      <w:r w:rsidR="005174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517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programa especial titulado </w:t>
      </w:r>
      <w:r w:rsidR="005174FC" w:rsidRPr="005174FC">
        <w:rPr>
          <w:rFonts w:ascii="Arial" w:eastAsia="Times New Roman" w:hAnsi="Arial" w:cs="Arial"/>
          <w:b/>
          <w:sz w:val="24"/>
          <w:szCs w:val="24"/>
          <w:lang w:eastAsia="es-ES"/>
        </w:rPr>
        <w:t>‘El Síndrome’</w:t>
      </w:r>
      <w:r w:rsidR="00517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anotándose la victoria en su franja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la oferta de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(3,4%)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630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174FC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 por </w:t>
      </w:r>
      <w:r w:rsidR="005A2742" w:rsidRPr="005174FC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ció hasta el 1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="005A2742" w:rsidRPr="005A27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5A2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36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fue la </w:t>
      </w:r>
      <w:r w:rsidR="005F362F" w:rsidRPr="005F3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más vista en todas las televisiones entre los espectadores jóvenes </w:t>
      </w:r>
      <w:r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>de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32040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204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F362F">
        <w:rPr>
          <w:rFonts w:ascii="Arial" w:eastAsia="Times New Roman" w:hAnsi="Arial" w:cs="Arial"/>
          <w:bCs/>
          <w:sz w:val="24"/>
          <w:szCs w:val="24"/>
          <w:lang w:eastAsia="es-ES"/>
        </w:rPr>
        <w:t>, sus principales seguidores</w:t>
      </w:r>
      <w:r w:rsidR="00F320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>mercados regionales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2360" w:rsidRPr="00992360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F52C7" w:rsidRPr="00EF52C7">
        <w:rPr>
          <w:rFonts w:ascii="Arial" w:eastAsia="Times New Roman" w:hAnsi="Arial" w:cs="Arial"/>
          <w:b/>
          <w:sz w:val="24"/>
          <w:szCs w:val="24"/>
          <w:lang w:eastAsia="es-ES"/>
        </w:rPr>
        <w:t>Euskadi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(9,8%) y el denominado </w:t>
      </w:r>
      <w:r w:rsidR="00EF52C7" w:rsidRPr="00EF52C7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(8,5%),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superar la media nacional.</w:t>
      </w:r>
    </w:p>
    <w:p w14:paraId="0213CD0E" w14:textId="64CB1C76" w:rsidR="001A637C" w:rsidRDefault="005B3A5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2AA0E44" w14:textId="7D67496B" w:rsidR="001A637C" w:rsidRDefault="00EF52C7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programación de Cuatro acaparó un mayor interés por parte de los espectadores frente a su competidor, destacando el resultado de la doble entrega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contenedor </w:t>
      </w:r>
      <w:proofErr w:type="spellStart"/>
      <w:r w:rsidRPr="00EF52C7">
        <w:rPr>
          <w:rFonts w:ascii="Arial" w:eastAsia="Times New Roman" w:hAnsi="Arial" w:cs="Arial"/>
          <w:b/>
          <w:sz w:val="24"/>
          <w:szCs w:val="24"/>
          <w:lang w:eastAsia="es-ES"/>
        </w:rPr>
        <w:t>Animalators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películas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King Kong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un </w:t>
      </w:r>
      <w:proofErr w:type="gramStart"/>
      <w:r w:rsidRPr="003C6C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‘Territorio escualo’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%);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doble capítulo </w:t>
      </w:r>
      <w:r w:rsidR="006F3D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6F3D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F3D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6,1% y 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F3D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vs. </w:t>
      </w:r>
      <w:r w:rsidR="006F3D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2,8% y </w:t>
      </w:r>
      <w:r w:rsidR="00FC183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19D6AD6" w14:textId="6BA3353D" w:rsidR="00D20C11" w:rsidRDefault="00764990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más de 4 puntos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total día a La Sexta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no logró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arle en ninguna de las franjas del domingo: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20638F" w:rsidRPr="002063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(4,8% vs 4,8%); 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3,8%);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 vs. 2,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proofErr w:type="gram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A249A6" w:rsidRPr="00D20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FBBC5C" w14:textId="77777777" w:rsidR="00EF52C7" w:rsidRDefault="00EF52C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F52C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DCC1" w14:textId="77777777" w:rsidR="00B114C6" w:rsidRDefault="00B114C6" w:rsidP="00B23904">
      <w:pPr>
        <w:spacing w:after="0" w:line="240" w:lineRule="auto"/>
      </w:pPr>
      <w:r>
        <w:separator/>
      </w:r>
    </w:p>
  </w:endnote>
  <w:endnote w:type="continuationSeparator" w:id="0">
    <w:p w14:paraId="5AE85A5C" w14:textId="77777777" w:rsidR="00B114C6" w:rsidRDefault="00B114C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DC8D" w14:textId="77777777" w:rsidR="00B114C6" w:rsidRDefault="00B114C6" w:rsidP="00B23904">
      <w:pPr>
        <w:spacing w:after="0" w:line="240" w:lineRule="auto"/>
      </w:pPr>
      <w:r>
        <w:separator/>
      </w:r>
    </w:p>
  </w:footnote>
  <w:footnote w:type="continuationSeparator" w:id="0">
    <w:p w14:paraId="5113CB4B" w14:textId="77777777" w:rsidR="00B114C6" w:rsidRDefault="00B114C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B43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67E49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38F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1A21"/>
    <w:rsid w:val="003B77E4"/>
    <w:rsid w:val="003C1B11"/>
    <w:rsid w:val="003C4280"/>
    <w:rsid w:val="003C6CBE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165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2819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174FC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742"/>
    <w:rsid w:val="005A28C6"/>
    <w:rsid w:val="005A4484"/>
    <w:rsid w:val="005B372D"/>
    <w:rsid w:val="005B3A5B"/>
    <w:rsid w:val="005C0E84"/>
    <w:rsid w:val="005C4D7D"/>
    <w:rsid w:val="005C5AEB"/>
    <w:rsid w:val="005C65F4"/>
    <w:rsid w:val="005D0271"/>
    <w:rsid w:val="005D1477"/>
    <w:rsid w:val="005D6B70"/>
    <w:rsid w:val="005F12F6"/>
    <w:rsid w:val="005F362F"/>
    <w:rsid w:val="005F38DE"/>
    <w:rsid w:val="005F4350"/>
    <w:rsid w:val="005F47E9"/>
    <w:rsid w:val="0060389F"/>
    <w:rsid w:val="00604D3E"/>
    <w:rsid w:val="006149A5"/>
    <w:rsid w:val="00616157"/>
    <w:rsid w:val="00620035"/>
    <w:rsid w:val="00622499"/>
    <w:rsid w:val="00627077"/>
    <w:rsid w:val="006277FB"/>
    <w:rsid w:val="00631F6E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3D56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15D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92360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28F0"/>
    <w:rsid w:val="00A13AC8"/>
    <w:rsid w:val="00A207AF"/>
    <w:rsid w:val="00A23006"/>
    <w:rsid w:val="00A235E5"/>
    <w:rsid w:val="00A249A6"/>
    <w:rsid w:val="00A260BF"/>
    <w:rsid w:val="00A312AE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61D0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14C6"/>
    <w:rsid w:val="00B17278"/>
    <w:rsid w:val="00B2132F"/>
    <w:rsid w:val="00B23904"/>
    <w:rsid w:val="00B24636"/>
    <w:rsid w:val="00B24FFF"/>
    <w:rsid w:val="00B25592"/>
    <w:rsid w:val="00B31EBD"/>
    <w:rsid w:val="00B345DE"/>
    <w:rsid w:val="00B3499B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BF7FE0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0C11"/>
    <w:rsid w:val="00D26D85"/>
    <w:rsid w:val="00D32232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3816"/>
    <w:rsid w:val="00E177AF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2C7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204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183D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2020-01-16T09:01:00Z</cp:lastPrinted>
  <dcterms:created xsi:type="dcterms:W3CDTF">2021-09-06T08:00:00Z</dcterms:created>
  <dcterms:modified xsi:type="dcterms:W3CDTF">2021-09-06T08:54:00Z</dcterms:modified>
</cp:coreProperties>
</file>