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400193CE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CAC3D9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0EECCEA0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1283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DA19E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FAA07ED" w14:textId="350EC3D1" w:rsidR="00991283" w:rsidRPr="006077ED" w:rsidRDefault="00991283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</w:pPr>
      <w:bookmarkStart w:id="0" w:name="_Hlk76975090"/>
      <w:bookmarkStart w:id="1" w:name="_Hlk70068654"/>
      <w:r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 xml:space="preserve">Italia gana la Eurocopa en los penaltis </w:t>
      </w:r>
      <w:r w:rsidR="006077ED"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 xml:space="preserve">y arrasa en Telecinco </w:t>
      </w:r>
      <w:r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 xml:space="preserve">ante 8,7M de </w:t>
      </w:r>
      <w:r w:rsidR="00267864"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>seguidores</w:t>
      </w:r>
      <w:r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 xml:space="preserve"> y un 55,5% de </w:t>
      </w:r>
      <w:r w:rsidR="00674F6D" w:rsidRPr="006077ED">
        <w:rPr>
          <w:rFonts w:ascii="Arial" w:eastAsia="Times New Roman" w:hAnsi="Arial" w:cs="Arial"/>
          <w:b/>
          <w:bCs/>
          <w:color w:val="003366"/>
          <w:sz w:val="42"/>
          <w:szCs w:val="42"/>
          <w:lang w:eastAsia="es-ES"/>
        </w:rPr>
        <w:t>cuota de pantalla</w:t>
      </w:r>
    </w:p>
    <w:p w14:paraId="68CE1842" w14:textId="7F28441C" w:rsid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247C732E" w14:textId="77B3531E" w:rsidR="0039152C" w:rsidRPr="0039152C" w:rsidRDefault="0039152C" w:rsidP="0039152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91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prórroga (49,4% y 7,8M) y el partido (46,1% y 6,7M) se sumaron a la tanda de penaltis para encabezar la lista de espacios más seguidos del domingo, ofreciendo 97 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391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100 spots más vistos del día, el primero de ellos con casi un 20% de rating publicitario</w:t>
      </w:r>
    </w:p>
    <w:p w14:paraId="3A8DEB73" w14:textId="77777777" w:rsidR="006077ED" w:rsidRDefault="006077ED" w:rsidP="006077E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44"/>
          <w:szCs w:val="44"/>
          <w:lang w:eastAsia="es-ES"/>
        </w:rPr>
      </w:pPr>
    </w:p>
    <w:p w14:paraId="3CEDEF5C" w14:textId="5DFFD9AD" w:rsidR="006077ED" w:rsidRPr="006077ED" w:rsidRDefault="006077ED" w:rsidP="006077E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07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participación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Selección Es</w:t>
      </w:r>
      <w:r w:rsidRPr="00607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pañola en la Eurocopa 2020 </w:t>
      </w:r>
      <w:r w:rsidR="006D5A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Pr="00607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congrega</w:t>
      </w:r>
      <w:r w:rsidR="006D5A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</w:t>
      </w:r>
      <w:r w:rsidRPr="00607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media del 8,3M de espectadores y un 58,6% de </w:t>
      </w:r>
      <w:r w:rsidRPr="006077E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</w:p>
    <w:p w14:paraId="4FFAA816" w14:textId="77777777" w:rsidR="004735F6" w:rsidRPr="001B3FCA" w:rsidRDefault="004735F6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1"/>
    <w:p w14:paraId="4FAB2833" w14:textId="413A9CCB" w:rsidR="001B3FCA" w:rsidRDefault="001B3FCA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6C6561" w14:textId="2A4860F0" w:rsidR="006077ED" w:rsidRDefault="00674F6D" w:rsidP="006077E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t</w:t>
      </w:r>
      <w:r w:rsidR="00991283">
        <w:rPr>
          <w:rFonts w:ascii="Arial" w:eastAsia="Times New Roman" w:hAnsi="Arial" w:cs="Arial"/>
          <w:sz w:val="24"/>
          <w:szCs w:val="24"/>
          <w:lang w:eastAsia="es-ES"/>
        </w:rPr>
        <w:t xml:space="preserve">riunfo de la selección italiana de fútbol en la Eurocopa de fútbol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puesto el broche de oro a unas audiencias 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millonarias </w:t>
      </w:r>
      <w:r>
        <w:rPr>
          <w:rFonts w:ascii="Arial" w:eastAsia="Times New Roman" w:hAnsi="Arial" w:cs="Arial"/>
          <w:sz w:val="24"/>
          <w:szCs w:val="24"/>
          <w:lang w:eastAsia="es-ES"/>
        </w:rPr>
        <w:t>que han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54CE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>educido al público televisivo con una marcada evolución al alza a lo largo del</w:t>
      </w:r>
      <w:r w:rsidR="007D6025">
        <w:rPr>
          <w:rFonts w:ascii="Arial" w:eastAsia="Times New Roman" w:hAnsi="Arial" w:cs="Arial"/>
          <w:sz w:val="24"/>
          <w:szCs w:val="24"/>
          <w:lang w:eastAsia="es-ES"/>
        </w:rPr>
        <w:t xml:space="preserve"> mes 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que ha durado el torneo deportivo. </w:t>
      </w:r>
      <w:r w:rsidR="006D5AF1">
        <w:rPr>
          <w:rFonts w:ascii="Arial" w:eastAsia="Times New Roman" w:hAnsi="Arial" w:cs="Arial"/>
          <w:sz w:val="24"/>
          <w:szCs w:val="24"/>
          <w:lang w:eastAsia="es-ES"/>
        </w:rPr>
        <w:t>La final de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 este campeonato</w:t>
      </w:r>
      <w:r w:rsidR="006D5A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6D5AF1">
        <w:rPr>
          <w:rFonts w:ascii="Arial" w:eastAsia="Times New Roman" w:hAnsi="Arial" w:cs="Arial"/>
          <w:sz w:val="24"/>
          <w:szCs w:val="24"/>
          <w:lang w:eastAsia="es-ES"/>
        </w:rPr>
        <w:t xml:space="preserve">tre las selecciones de 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>Italia e Inglaterra</w:t>
      </w:r>
      <w:r w:rsidR="006D5A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 encabezó ayer el ranking de los espacios más vistos de la jornada</w:t>
      </w:r>
      <w:r w:rsidR="006D5A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77ED">
        <w:rPr>
          <w:rFonts w:ascii="Arial" w:eastAsia="Times New Roman" w:hAnsi="Arial" w:cs="Arial"/>
          <w:sz w:val="24"/>
          <w:szCs w:val="24"/>
          <w:lang w:eastAsia="es-ES"/>
        </w:rPr>
        <w:t xml:space="preserve"> arrasando con la tanda de penaltis, la prórroga y el encuentro de fútbol.</w:t>
      </w:r>
    </w:p>
    <w:p w14:paraId="3CCD98EB" w14:textId="77777777" w:rsidR="006D5AF1" w:rsidRDefault="00DB3735" w:rsidP="006077E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2"/>
          <w:szCs w:val="12"/>
          <w:lang w:eastAsia="es-ES"/>
        </w:rPr>
      </w:pPr>
      <w:r>
        <w:rPr>
          <w:rFonts w:ascii="Arial" w:eastAsia="Times New Roman" w:hAnsi="Arial" w:cs="Arial"/>
          <w:b/>
          <w:bCs/>
          <w:sz w:val="12"/>
          <w:szCs w:val="12"/>
          <w:lang w:eastAsia="es-ES"/>
        </w:rPr>
        <w:t xml:space="preserve">       </w:t>
      </w:r>
    </w:p>
    <w:p w14:paraId="30F193D1" w14:textId="25D23CC6" w:rsidR="00DB3735" w:rsidRPr="00DB3735" w:rsidRDefault="006D5AF1" w:rsidP="006077E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2"/>
          <w:szCs w:val="12"/>
          <w:lang w:eastAsia="es-ES"/>
        </w:rPr>
      </w:pPr>
      <w:r>
        <w:rPr>
          <w:rFonts w:ascii="Arial" w:eastAsia="Times New Roman" w:hAnsi="Arial" w:cs="Arial"/>
          <w:b/>
          <w:bCs/>
          <w:sz w:val="12"/>
          <w:szCs w:val="12"/>
          <w:lang w:eastAsia="es-ES"/>
        </w:rPr>
        <w:t xml:space="preserve">           </w:t>
      </w:r>
      <w:r w:rsidR="00DB3735" w:rsidRPr="00DB3735">
        <w:rPr>
          <w:rFonts w:ascii="Arial" w:eastAsia="Times New Roman" w:hAnsi="Arial" w:cs="Arial"/>
          <w:b/>
          <w:bCs/>
          <w:sz w:val="12"/>
          <w:szCs w:val="12"/>
          <w:lang w:eastAsia="es-ES"/>
        </w:rPr>
        <w:t>Italia-Inglaterra</w:t>
      </w:r>
    </w:p>
    <w:p w14:paraId="3EFA0670" w14:textId="6133537A" w:rsidR="009F013A" w:rsidRPr="00DB3735" w:rsidRDefault="006077ED" w:rsidP="00DB3735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1F4E79" w:themeColor="accent1" w:themeShade="80"/>
          <w:sz w:val="12"/>
          <w:szCs w:val="12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34CEF844" wp14:editId="52EE8314">
            <wp:simplePos x="0" y="0"/>
            <wp:positionH relativeFrom="margin">
              <wp:posOffset>1103630</wp:posOffset>
            </wp:positionH>
            <wp:positionV relativeFrom="paragraph">
              <wp:posOffset>36830</wp:posOffset>
            </wp:positionV>
            <wp:extent cx="4780280" cy="1854200"/>
            <wp:effectExtent l="0" t="0" r="0" b="0"/>
            <wp:wrapTight wrapText="bothSides">
              <wp:wrapPolygon edited="0">
                <wp:start x="3443" y="444"/>
                <wp:lineTo x="1119" y="1775"/>
                <wp:lineTo x="0" y="2885"/>
                <wp:lineTo x="0" y="14647"/>
                <wp:lineTo x="344" y="17310"/>
                <wp:lineTo x="947" y="18641"/>
                <wp:lineTo x="947" y="19085"/>
                <wp:lineTo x="4993" y="19973"/>
                <wp:lineTo x="6370" y="20416"/>
                <wp:lineTo x="15838" y="20416"/>
                <wp:lineTo x="21089" y="19085"/>
                <wp:lineTo x="21175" y="1775"/>
                <wp:lineTo x="19626" y="888"/>
                <wp:lineTo x="14203" y="444"/>
                <wp:lineTo x="3443" y="44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735">
        <w:rPr>
          <w:noProof/>
        </w:rPr>
        <w:drawing>
          <wp:anchor distT="0" distB="0" distL="114300" distR="114300" simplePos="0" relativeHeight="251661312" behindDoc="1" locked="0" layoutInCell="1" allowOverlap="1" wp14:anchorId="42DA7D8C" wp14:editId="714A2F63">
            <wp:simplePos x="0" y="0"/>
            <wp:positionH relativeFrom="margin">
              <wp:posOffset>37465</wp:posOffset>
            </wp:positionH>
            <wp:positionV relativeFrom="paragraph">
              <wp:posOffset>170815</wp:posOffset>
            </wp:positionV>
            <wp:extent cx="920750" cy="2424430"/>
            <wp:effectExtent l="0" t="0" r="0" b="0"/>
            <wp:wrapTight wrapText="bothSides">
              <wp:wrapPolygon edited="0">
                <wp:start x="0" y="0"/>
                <wp:lineTo x="0" y="21385"/>
                <wp:lineTo x="16535" y="21385"/>
                <wp:lineTo x="21004" y="21215"/>
                <wp:lineTo x="21004" y="170"/>
                <wp:lineTo x="1474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35" w:rsidRPr="00DB3735">
        <w:rPr>
          <w:rFonts w:ascii="Arial" w:eastAsia="Times New Roman" w:hAnsi="Arial" w:cs="Arial"/>
          <w:b/>
          <w:bCs/>
          <w:sz w:val="12"/>
          <w:szCs w:val="12"/>
          <w:lang w:eastAsia="es-ES"/>
        </w:rPr>
        <w:t>(partido+prórroga+penaltis)</w:t>
      </w:r>
    </w:p>
    <w:p w14:paraId="385AD0F5" w14:textId="2D6FB14D" w:rsidR="006E4149" w:rsidRPr="001C3B54" w:rsidRDefault="001C3B54" w:rsidP="00DB373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</w:t>
      </w:r>
    </w:p>
    <w:p w14:paraId="28A27764" w14:textId="798C4BB9" w:rsidR="00511969" w:rsidRDefault="006077ED" w:rsidP="0051196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1B3FCA">
        <w:rPr>
          <w:rFonts w:ascii="Arial" w:eastAsia="Times New Roman" w:hAnsi="Arial" w:cs="Arial"/>
          <w:sz w:val="24"/>
          <w:szCs w:val="24"/>
          <w:lang w:eastAsia="es-ES"/>
        </w:rPr>
        <w:t xml:space="preserve"> tanda de </w:t>
      </w:r>
      <w:r w:rsidR="001B3FCA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penaltis </w:t>
      </w:r>
      <w:r w:rsidR="00DB3735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(55</w:t>
      </w:r>
      <w:r w:rsidR="0081457A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B3735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1457A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B3735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8,7M)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 xml:space="preserve"> anotó un 62,1% </w:t>
      </w:r>
      <w:r w:rsidR="002611D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611D8" w:rsidRPr="002611D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2611D8">
        <w:rPr>
          <w:rFonts w:ascii="Arial" w:eastAsia="Times New Roman" w:hAnsi="Arial" w:cs="Arial"/>
          <w:sz w:val="24"/>
          <w:szCs w:val="24"/>
          <w:lang w:eastAsia="es-ES"/>
        </w:rPr>
        <w:t xml:space="preserve"> comercial,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con sus principales seguidores entre los espectadores </w:t>
      </w:r>
      <w:r w:rsidR="0081457A" w:rsidRPr="004E0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 a 24 años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74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%) y de la Comunidad de </w:t>
      </w:r>
      <w:r w:rsidR="00DB3735" w:rsidRPr="004E0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81457A" w:rsidRPr="004E0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63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%). Registró el </w:t>
      </w:r>
      <w:r w:rsidR="0081457A" w:rsidRPr="007E5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minuto de oro del </w:t>
      </w:r>
      <w:r w:rsid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52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h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oras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DB3735" w:rsidRPr="00DB37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9,2</w:t>
      </w:r>
      <w:r w:rsidR="0081457A" w:rsidRPr="007E5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58,8%</w:t>
      </w:r>
      <w:r w:rsidR="007A4213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34A23">
        <w:rPr>
          <w:rFonts w:ascii="Arial" w:eastAsia="Times New Roman" w:hAnsi="Arial" w:cs="Arial"/>
          <w:sz w:val="24"/>
          <w:szCs w:val="24"/>
          <w:lang w:eastAsia="es-ES"/>
        </w:rPr>
        <w:t xml:space="preserve"> y congregó </w:t>
      </w:r>
      <w:r w:rsidR="00734A23" w:rsidRPr="00734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97 de los 100 </w:t>
      </w:r>
      <w:r w:rsidR="00734A23" w:rsidRPr="00734A2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spots</w:t>
      </w:r>
      <w:r w:rsidR="00734A23" w:rsidRPr="00734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vistos del fin de semana</w:t>
      </w:r>
      <w:r w:rsidR="00734A23">
        <w:rPr>
          <w:rFonts w:ascii="Arial" w:eastAsia="Times New Roman" w:hAnsi="Arial" w:cs="Arial"/>
          <w:sz w:val="24"/>
          <w:szCs w:val="24"/>
          <w:lang w:eastAsia="es-ES"/>
        </w:rPr>
        <w:t xml:space="preserve">, entre ellos el de mayor audiencia (APPLE), a las 23:54 horas, con un 19,9% de </w:t>
      </w:r>
      <w:r w:rsidR="00734A23" w:rsidRPr="00734A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734A23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14:paraId="2CC3BA5F" w14:textId="1A06C6CA" w:rsidR="007A4213" w:rsidRDefault="007A4213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F22A3" w14:textId="2665C892" w:rsidR="0081457A" w:rsidRDefault="0081457A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5119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 le sigui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eron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681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prórroga del partido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49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57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Pr="00681A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="00681A92"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encuentro de fútbol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46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E4149" w:rsidRPr="00735E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6,7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E4149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53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681A92" w:rsidRPr="00681A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. En ambos casos, su público más afín fueron los </w:t>
      </w:r>
      <w:r w:rsidR="00681A92" w:rsidRPr="00056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jóvenes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68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62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373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681A92" w:rsidRPr="00056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Comunidad de Madrid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57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561AD67D" w14:textId="3F804150" w:rsidR="00BE3726" w:rsidRDefault="00BE3726" w:rsidP="000209F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432F96" w14:textId="53C6C2E2" w:rsidR="006077ED" w:rsidRDefault="006E4149" w:rsidP="006B268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E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4C4241" w:rsidRPr="004C4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</w:t>
      </w:r>
      <w:r w:rsidR="006B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previo 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,8% en </w:t>
      </w:r>
      <w:r w:rsidR="006B2680" w:rsidRPr="007E58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B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4C4241" w:rsidRPr="006E41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post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M y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46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4C4241" w:rsidRPr="006B268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franjas.</w:t>
      </w:r>
    </w:p>
    <w:p w14:paraId="50CAEC4E" w14:textId="77777777" w:rsidR="006077ED" w:rsidRDefault="006077ED" w:rsidP="006B268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B9BE0A" w14:textId="30438ECD" w:rsidR="006077ED" w:rsidRDefault="006077ED" w:rsidP="006077E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 la participación de la </w:t>
      </w:r>
      <w:r w:rsidRPr="002678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Selección Española de </w:t>
      </w:r>
      <w:r w:rsidR="006D5A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2678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útbol en la Eurocopa 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6 partidos, 3 prórrogas y 2 tandas de penaltis en los que compitieron fueron los más arropados por los espectadores de Telecinco con una media del 58,6% de </w:t>
      </w:r>
      <w:r w:rsidRPr="009F01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8,3M de seguidores y un 68,2% de </w:t>
      </w:r>
      <w:r w:rsidRPr="009F01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  </w:t>
      </w:r>
    </w:p>
    <w:p w14:paraId="770155DA" w14:textId="12364A2F" w:rsidR="006077ED" w:rsidRPr="0039152C" w:rsidRDefault="006077ED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es-ES"/>
        </w:rPr>
      </w:pPr>
    </w:p>
    <w:p w14:paraId="47C8AD23" w14:textId="55D07A21" w:rsidR="0039152C" w:rsidRPr="0039152C" w:rsidRDefault="0039152C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39152C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 se anota el </w:t>
      </w:r>
      <w:r w:rsidRPr="0039152C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day time</w:t>
      </w:r>
      <w:r w:rsidRPr="0039152C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con los liderazgos de ‘Socialite’ y ‘Viva la vida’</w:t>
      </w:r>
    </w:p>
    <w:p w14:paraId="394B3237" w14:textId="77777777" w:rsidR="0039152C" w:rsidRDefault="0039152C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771BDE" w14:textId="3326EA90" w:rsidR="004E07F8" w:rsidRDefault="004E07F8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también lideraron ayer en Telecinco </w:t>
      </w:r>
      <w:r w:rsidRPr="004E0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‘Socialite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(15% y 1,1M) y </w:t>
      </w:r>
      <w:r w:rsidRPr="004E07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(13,4% y 1,3M), por delante de Antena 3 en sus respectivas bandas (12% y 13%).</w:t>
      </w:r>
    </w:p>
    <w:p w14:paraId="0874CC5E" w14:textId="77777777" w:rsidR="004E07F8" w:rsidRPr="007E58F9" w:rsidRDefault="004E07F8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41DBD0" w14:textId="7F1DA4CD" w:rsidR="00957AD1" w:rsidRDefault="006B2680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stos resultados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propiciaron que </w:t>
      </w:r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elecinco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 xml:space="preserve">liderara el domingo con un 23,6% de share y se anotara la victoria en las franjas de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957AD1"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13E32" w:rsidRPr="004E07F8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3E32" w:rsidRPr="004E07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13E32" w:rsidRPr="004E07F8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57AD1"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E07F8" w:rsidRPr="004E07F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 xml:space="preserve"> (44,7%), </w:t>
      </w:r>
      <w:r w:rsidR="004E07F8" w:rsidRPr="004E07F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 xml:space="preserve"> (20,3%)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57AD1"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57AD1"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E07F8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7741D466" w14:textId="77777777" w:rsidR="006077ED" w:rsidRDefault="006077ED" w:rsidP="006077E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6C903" w14:textId="550E216E" w:rsidR="00735E76" w:rsidRDefault="00D601F3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Cuatro se impone a La Sexta en el día…y </w:t>
      </w:r>
      <w:r w:rsidR="00E96F9B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todas sus franjas</w:t>
      </w:r>
    </w:p>
    <w:p w14:paraId="3EA1E182" w14:textId="77777777" w:rsidR="00D601F3" w:rsidRDefault="00D601F3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FFF83F" w14:textId="64B6F73F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D601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aventajó ayer a La Sexta en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el domingo (5,5% vs. 3,8%) y en todas sus franjas; la </w:t>
      </w:r>
      <w:r w:rsidR="00D601F3" w:rsidRPr="00D601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(6% vs. 4%), la </w:t>
      </w:r>
      <w:r w:rsidR="00D601F3" w:rsidRPr="00D601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(6,2% vs. 5,4%), la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 vs.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vs.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 vs. 4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601F3" w:rsidRPr="00D601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(6,4% vs. 4,3%) y </w:t>
      </w:r>
      <w:r w:rsidR="00D601F3" w:rsidRPr="00D601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01F3" w:rsidRPr="00D601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D601F3">
        <w:rPr>
          <w:rFonts w:ascii="Arial" w:eastAsia="Times New Roman" w:hAnsi="Arial" w:cs="Arial"/>
          <w:sz w:val="24"/>
          <w:szCs w:val="24"/>
          <w:lang w:eastAsia="es-ES"/>
        </w:rPr>
        <w:t xml:space="preserve"> (6,6% vs. 4,3%)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43077E2" w14:textId="5273C83B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61CF2A" w14:textId="147BB566" w:rsidR="00735E76" w:rsidRPr="00735E76" w:rsidRDefault="00735E76" w:rsidP="00735E7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9302A6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‘Cuatro al día </w:t>
      </w:r>
      <w:r w:rsidR="00930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 de semana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7,7%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anotó 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302A6">
        <w:rPr>
          <w:rFonts w:ascii="Arial" w:eastAsia="Times New Roman" w:hAnsi="Arial" w:cs="Arial"/>
          <w:sz w:val="24"/>
          <w:szCs w:val="24"/>
          <w:lang w:eastAsia="es-ES"/>
        </w:rPr>
        <w:t xml:space="preserve">segundo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30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6876">
        <w:rPr>
          <w:rFonts w:ascii="Arial" w:eastAsia="Times New Roman" w:hAnsi="Arial" w:cs="Arial"/>
          <w:sz w:val="24"/>
          <w:szCs w:val="24"/>
          <w:lang w:eastAsia="es-ES"/>
        </w:rPr>
        <w:t xml:space="preserve">y creció al 8,9% en </w:t>
      </w:r>
      <w:r w:rsidR="00FC6876" w:rsidRPr="00FC687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FC6876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7ED3209C" w14:textId="77777777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35E76" w:rsidSect="005D1477">
      <w:footerReference w:type="default" r:id="rId11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0A09" w14:textId="77777777" w:rsidR="00935570" w:rsidRDefault="00935570" w:rsidP="00B23904">
      <w:pPr>
        <w:spacing w:after="0" w:line="240" w:lineRule="auto"/>
      </w:pPr>
      <w:r>
        <w:separator/>
      </w:r>
    </w:p>
  </w:endnote>
  <w:endnote w:type="continuationSeparator" w:id="0">
    <w:p w14:paraId="01C33EC6" w14:textId="77777777" w:rsidR="00935570" w:rsidRDefault="009355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A544" w14:textId="77777777" w:rsidR="00935570" w:rsidRDefault="00935570" w:rsidP="00B23904">
      <w:pPr>
        <w:spacing w:after="0" w:line="240" w:lineRule="auto"/>
      </w:pPr>
      <w:r>
        <w:separator/>
      </w:r>
    </w:p>
  </w:footnote>
  <w:footnote w:type="continuationSeparator" w:id="0">
    <w:p w14:paraId="729AC6E3" w14:textId="77777777" w:rsidR="00935570" w:rsidRDefault="009355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350"/>
    <w:multiLevelType w:val="hybridMultilevel"/>
    <w:tmpl w:val="C554B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166D0"/>
    <w:rsid w:val="000209F1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56DA0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235"/>
    <w:rsid w:val="000D0F01"/>
    <w:rsid w:val="000D13D9"/>
    <w:rsid w:val="000D1B86"/>
    <w:rsid w:val="000D26AF"/>
    <w:rsid w:val="000D2A8E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3FCA"/>
    <w:rsid w:val="001B6D8C"/>
    <w:rsid w:val="001C3B54"/>
    <w:rsid w:val="001C6F43"/>
    <w:rsid w:val="001D1186"/>
    <w:rsid w:val="001D1423"/>
    <w:rsid w:val="001D1821"/>
    <w:rsid w:val="001D1D8D"/>
    <w:rsid w:val="001E33FC"/>
    <w:rsid w:val="001E35FE"/>
    <w:rsid w:val="001E5A51"/>
    <w:rsid w:val="001E7110"/>
    <w:rsid w:val="001F18F8"/>
    <w:rsid w:val="001F640A"/>
    <w:rsid w:val="001F77F8"/>
    <w:rsid w:val="001F7929"/>
    <w:rsid w:val="00206A58"/>
    <w:rsid w:val="0020723C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11D8"/>
    <w:rsid w:val="002669E2"/>
    <w:rsid w:val="00267864"/>
    <w:rsid w:val="002733B0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071FA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152C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13E32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35F6"/>
    <w:rsid w:val="00474789"/>
    <w:rsid w:val="00480CF8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4241"/>
    <w:rsid w:val="004C6489"/>
    <w:rsid w:val="004D04E7"/>
    <w:rsid w:val="004D418A"/>
    <w:rsid w:val="004D4416"/>
    <w:rsid w:val="004D705B"/>
    <w:rsid w:val="004D7CDB"/>
    <w:rsid w:val="004E0086"/>
    <w:rsid w:val="004E07F8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969"/>
    <w:rsid w:val="00511A0F"/>
    <w:rsid w:val="00512672"/>
    <w:rsid w:val="00516FC4"/>
    <w:rsid w:val="00520AD5"/>
    <w:rsid w:val="00524F3B"/>
    <w:rsid w:val="005263E8"/>
    <w:rsid w:val="00534049"/>
    <w:rsid w:val="0053606C"/>
    <w:rsid w:val="0054095F"/>
    <w:rsid w:val="00543606"/>
    <w:rsid w:val="005528E4"/>
    <w:rsid w:val="005546B7"/>
    <w:rsid w:val="005548BD"/>
    <w:rsid w:val="005574DB"/>
    <w:rsid w:val="00560502"/>
    <w:rsid w:val="00575415"/>
    <w:rsid w:val="00576D59"/>
    <w:rsid w:val="00582133"/>
    <w:rsid w:val="00591B3C"/>
    <w:rsid w:val="005929C5"/>
    <w:rsid w:val="00595B8B"/>
    <w:rsid w:val="00597FED"/>
    <w:rsid w:val="005A182D"/>
    <w:rsid w:val="005A229F"/>
    <w:rsid w:val="005A28C6"/>
    <w:rsid w:val="005A4484"/>
    <w:rsid w:val="005A5C5C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077ED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74F6D"/>
    <w:rsid w:val="006808AA"/>
    <w:rsid w:val="006813CB"/>
    <w:rsid w:val="00681A92"/>
    <w:rsid w:val="006831B1"/>
    <w:rsid w:val="006837FB"/>
    <w:rsid w:val="00683A32"/>
    <w:rsid w:val="00684F8F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2680"/>
    <w:rsid w:val="006B4FF6"/>
    <w:rsid w:val="006B622B"/>
    <w:rsid w:val="006C0124"/>
    <w:rsid w:val="006C17DD"/>
    <w:rsid w:val="006D5AF1"/>
    <w:rsid w:val="006E163D"/>
    <w:rsid w:val="006E2F0B"/>
    <w:rsid w:val="006E3B24"/>
    <w:rsid w:val="006E4149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34A23"/>
    <w:rsid w:val="00735E76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73E7B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213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D4274"/>
    <w:rsid w:val="007D6025"/>
    <w:rsid w:val="007D70E4"/>
    <w:rsid w:val="007E4363"/>
    <w:rsid w:val="007E58F9"/>
    <w:rsid w:val="007E5DE7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1457A"/>
    <w:rsid w:val="008251B8"/>
    <w:rsid w:val="008337DC"/>
    <w:rsid w:val="00833B61"/>
    <w:rsid w:val="00845C83"/>
    <w:rsid w:val="00850DC8"/>
    <w:rsid w:val="008512B9"/>
    <w:rsid w:val="00855414"/>
    <w:rsid w:val="00856769"/>
    <w:rsid w:val="008615C0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08A6"/>
    <w:rsid w:val="00901F6C"/>
    <w:rsid w:val="00916115"/>
    <w:rsid w:val="009211C4"/>
    <w:rsid w:val="00922D65"/>
    <w:rsid w:val="009268C4"/>
    <w:rsid w:val="009302A6"/>
    <w:rsid w:val="0093055C"/>
    <w:rsid w:val="00930A35"/>
    <w:rsid w:val="00930D26"/>
    <w:rsid w:val="00931EAD"/>
    <w:rsid w:val="00932684"/>
    <w:rsid w:val="00932E20"/>
    <w:rsid w:val="00935570"/>
    <w:rsid w:val="00942C60"/>
    <w:rsid w:val="00944CFB"/>
    <w:rsid w:val="00952E8D"/>
    <w:rsid w:val="00957AD1"/>
    <w:rsid w:val="009613D2"/>
    <w:rsid w:val="009624A0"/>
    <w:rsid w:val="009679EB"/>
    <w:rsid w:val="00970A89"/>
    <w:rsid w:val="00991283"/>
    <w:rsid w:val="009A78DA"/>
    <w:rsid w:val="009B186D"/>
    <w:rsid w:val="009B3F4D"/>
    <w:rsid w:val="009B4370"/>
    <w:rsid w:val="009B48F6"/>
    <w:rsid w:val="009B6F26"/>
    <w:rsid w:val="009B7895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013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3F66"/>
    <w:rsid w:val="00B84338"/>
    <w:rsid w:val="00B849CA"/>
    <w:rsid w:val="00B854CE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A76C1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42FC"/>
    <w:rsid w:val="00BC647E"/>
    <w:rsid w:val="00BC7245"/>
    <w:rsid w:val="00BD2204"/>
    <w:rsid w:val="00BD413F"/>
    <w:rsid w:val="00BD6096"/>
    <w:rsid w:val="00BD613C"/>
    <w:rsid w:val="00BE3726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3A5E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459B8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47F18"/>
    <w:rsid w:val="00D51248"/>
    <w:rsid w:val="00D515BE"/>
    <w:rsid w:val="00D536E1"/>
    <w:rsid w:val="00D55C3A"/>
    <w:rsid w:val="00D56088"/>
    <w:rsid w:val="00D601F3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19E9"/>
    <w:rsid w:val="00DA36C4"/>
    <w:rsid w:val="00DB3735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114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6F9B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C6876"/>
    <w:rsid w:val="00FD04F4"/>
    <w:rsid w:val="00FD17D0"/>
    <w:rsid w:val="00FD4813"/>
    <w:rsid w:val="00FD74B4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2020-01-16T09:01:00Z</cp:lastPrinted>
  <dcterms:created xsi:type="dcterms:W3CDTF">2021-07-12T08:23:00Z</dcterms:created>
  <dcterms:modified xsi:type="dcterms:W3CDTF">2021-07-12T10:11:00Z</dcterms:modified>
</cp:coreProperties>
</file>