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69CDE7C2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06D8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BF4E929" w14:textId="23521CF4" w:rsidR="00703D91" w:rsidRPr="00B4003E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1B285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Supervivientes 2021</w:t>
      </w:r>
      <w:r w:rsidR="001B2853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’</w:t>
      </w:r>
      <w:r w:rsidR="0076565A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(26,5%)</w:t>
      </w:r>
      <w:r w:rsidR="00B06D8C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, </w:t>
      </w:r>
      <w:r w:rsidR="0076565A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crece 2,4 puntos y</w:t>
      </w:r>
      <w:r w:rsidR="00B06D8C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triplica </w:t>
      </w:r>
      <w:r w:rsidR="0076565A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la oferta de</w:t>
      </w:r>
      <w:r w:rsidR="00B4003E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 w:rsidR="00B06D8C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Antena 3</w:t>
      </w:r>
      <w:r w:rsidR="0076565A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(7%)</w:t>
      </w:r>
      <w:r w:rsidR="00B06D8C"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 w:rsidRPr="00B4003E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350822" w14:textId="77777777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07CECB18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entes 2021’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lo más visto del jueves, 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su tercer mejor </w:t>
      </w:r>
      <w:r w:rsidR="00997669" w:rsidRPr="0078359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tras </w:t>
      </w:r>
      <w:r w:rsidR="0078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</w:t>
      </w:r>
      <w:r w:rsidR="0078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2,4 puntos respecto a la semana pasada,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76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incremento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casi 10 puntos entre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jóvenes de 13 a 24 años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sus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ncipales seguidores (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06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0304BFD" w14:textId="70F3870B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990A536" w14:textId="7B226815" w:rsidR="00B06D8C" w:rsidRDefault="00B06D8C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(17,4% y 2,2M)</w:t>
      </w:r>
      <w:r w:rsidR="00E472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más visto del día, anotó un 19% en </w:t>
      </w:r>
      <w:proofErr w:type="gramStart"/>
      <w:r w:rsidRPr="0078359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 w:rsidR="007835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casi 4 puntos a la oferta de Antena 3 en su franja (13,5%)</w:t>
      </w:r>
    </w:p>
    <w:p w14:paraId="76806583" w14:textId="36C34C93" w:rsidR="00783597" w:rsidRDefault="00783597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5D7226" w14:textId="2DBC5668" w:rsidR="00783597" w:rsidRDefault="00783597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se impuso a La Sexta en el </w:t>
      </w:r>
      <w:r w:rsidRPr="009976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(6,4% vs. 5,6%) y </w:t>
      </w:r>
      <w:r w:rsidRPr="009976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976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(7,6% vs. 6,1%) impulsado por el largometraje ‘Pura adrenalina: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&amp;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Furious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7’ (7,9%), segunda opción de la franja tras ‘Supervivientes’</w:t>
      </w:r>
      <w:r w:rsidR="009976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delante de las ofertas de La Sexta (6,2%) y Antena 3 (7,5%)</w:t>
      </w:r>
    </w:p>
    <w:p w14:paraId="5DA87638" w14:textId="04BCBEC5" w:rsidR="0003499C" w:rsidRDefault="0003499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E23ECA1" w14:textId="77777777" w:rsidR="0076565A" w:rsidRDefault="0076565A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9AF2B" w14:textId="25A24AFF" w:rsidR="001702D7" w:rsidRDefault="00887D24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>‘Superviviente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anoche a confirmar su éxito ante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Pr="004459D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crecer </w:t>
      </w:r>
      <w:r w:rsidR="0006203B">
        <w:rPr>
          <w:rFonts w:ascii="Arial" w:eastAsia="Times New Roman" w:hAnsi="Arial" w:cs="Arial"/>
          <w:bCs/>
          <w:sz w:val="24"/>
          <w:szCs w:val="24"/>
          <w:lang w:eastAsia="es-ES"/>
        </w:rPr>
        <w:t>2,4 puntos respecto a la gala de la semana pasada.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triplicó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franja, a la que superó en todos los </w:t>
      </w:r>
      <w:r w:rsidR="004459D1" w:rsidRPr="004459D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59D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59D1" w:rsidRPr="004459D1">
        <w:rPr>
          <w:rFonts w:ascii="Arial" w:eastAsia="Times New Roman" w:hAnsi="Arial" w:cs="Arial"/>
          <w:bCs/>
          <w:sz w:val="24"/>
          <w:szCs w:val="24"/>
          <w:lang w:eastAsia="es-ES"/>
        </w:rPr>
        <w:t>como sus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(34,6%), 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Asturias (29,7%),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8,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Galicia (27,2%)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59D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D8B5029" w14:textId="748F17A6" w:rsid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8B2495" w14:textId="3F88DF1D" w:rsidR="004459D1" w:rsidRP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el </w:t>
      </w:r>
      <w:r w:rsidRPr="004459D1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 las 23:46 horas, con 3.027.000 espectadores (27,2%).</w:t>
      </w:r>
    </w:p>
    <w:p w14:paraId="49992BE6" w14:textId="70D63F73" w:rsidR="001702D7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616156D" wp14:editId="33B6701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924550" cy="2298700"/>
            <wp:effectExtent l="0" t="0" r="0" b="0"/>
            <wp:wrapTight wrapText="bothSides">
              <wp:wrapPolygon edited="0">
                <wp:start x="4376" y="1790"/>
                <wp:lineTo x="208" y="2148"/>
                <wp:lineTo x="139" y="5012"/>
                <wp:lineTo x="972" y="5012"/>
                <wp:lineTo x="278" y="5728"/>
                <wp:lineTo x="139" y="6265"/>
                <wp:lineTo x="139" y="14857"/>
                <wp:lineTo x="625" y="16469"/>
                <wp:lineTo x="278" y="16648"/>
                <wp:lineTo x="764" y="19154"/>
                <wp:lineTo x="5278" y="19333"/>
                <wp:lineTo x="5278" y="20407"/>
                <wp:lineTo x="17919" y="20407"/>
                <wp:lineTo x="18058" y="19333"/>
                <wp:lineTo x="17641" y="19333"/>
                <wp:lineTo x="21114" y="18438"/>
                <wp:lineTo x="21114" y="3401"/>
                <wp:lineTo x="20072" y="3043"/>
                <wp:lineTo x="14099" y="1790"/>
                <wp:lineTo x="4376" y="179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2" cy="230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8738D" w14:textId="58339735" w:rsidR="004459D1" w:rsidRDefault="004459D1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8C6C68" w14:textId="77777777" w:rsidR="0076565A" w:rsidRDefault="0076565A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A70E1E" w14:textId="77777777" w:rsidR="0076565A" w:rsidRDefault="0076565A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9869D7" w14:textId="0627CB18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espacio previo, </w:t>
      </w:r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</w:t>
      </w:r>
      <w:proofErr w:type="spellStart"/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AB1367">
        <w:rPr>
          <w:rFonts w:ascii="Arial" w:eastAsia="Times New Roman" w:hAnsi="Arial" w:cs="Arial"/>
          <w:b/>
          <w:sz w:val="24"/>
          <w:szCs w:val="24"/>
          <w:lang w:eastAsia="es-ES"/>
        </w:rPr>
        <w:t>’ (17,4% y 2,2M)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lo más visto del día,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estableciendo una ventaja de casi 4 puntos sobre la oferta de su inmediato competidor (13,5%). Anotó un 19% en </w:t>
      </w:r>
      <w:proofErr w:type="gramStart"/>
      <w:r w:rsidR="00AB1367" w:rsidRPr="00AB13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79FD4A4" w14:textId="0D4B67A6" w:rsidR="004459D1" w:rsidRDefault="004459D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EA332F" w14:textId="1E2E5B97" w:rsidR="00B16C2F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emisión de </w:t>
      </w:r>
      <w:r w:rsidRPr="00B16C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2021’ y ‘Supervivientes: </w:t>
      </w:r>
      <w:proofErr w:type="spellStart"/>
      <w:r w:rsidRPr="00B16C2F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B16C2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registraron </w:t>
      </w:r>
      <w:r w:rsidRPr="00B16C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99 de los 100 </w:t>
      </w:r>
      <w:r w:rsidRPr="00B16C2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spots</w:t>
      </w:r>
      <w:r w:rsidRPr="00B16C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vistos del 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ellos el de mayor audiencia (ONCE), a las 23:24 horas, con un 6,5% de </w:t>
      </w:r>
      <w:r w:rsidRPr="00B16C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288B01FF" w14:textId="77777777" w:rsidR="00B16C2F" w:rsidRDefault="00B16C2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737C850C" w:rsidR="006F05CF" w:rsidRDefault="00E4722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ambién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en la 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Telecinco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AB1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556.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tarde, </w:t>
      </w:r>
      <w:r w:rsidR="00AB1367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AB13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(13,8% y 1,5M) y </w:t>
      </w:r>
      <w:r w:rsidR="001678B6" w:rsidRPr="007768C2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167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 y 1,5M) volvieron a anotarse la victoria en sus respectivas franjas frente a la oferta de Antena 3 (9,6% y 11,5%).</w:t>
      </w:r>
    </w:p>
    <w:p w14:paraId="20A484E1" w14:textId="79CBDFC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0F5D74F5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ayer convirtió en positivo todas sus emisiones </w:t>
      </w:r>
      <w:r w:rsid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total día 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proofErr w:type="gramStart"/>
      <w:r w:rsidR="008B1349" w:rsidRPr="00B97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la cadena más vista 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12,5% de su competidora.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Lideró, además, todas las franjas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: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14,7%;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768C2" w:rsidRPr="007768C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, con un 18%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472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7768C2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768C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AB7516B" w:rsidR="00D6458C" w:rsidRPr="0035471D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774C69AD" w14:textId="77777777" w:rsidR="00321781" w:rsidRDefault="00321781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La oferta cinematográfica de </w:t>
      </w:r>
      <w:r w:rsidR="0035471D" w:rsidRPr="0035471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Cuatro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, segunda opción del </w:t>
      </w:r>
      <w:r w:rsidRPr="00321781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tras ‘Supervivientes’</w:t>
      </w:r>
    </w:p>
    <w:p w14:paraId="7D89D123" w14:textId="2B291417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711BD16F" w14:textId="3931D2F3" w:rsidR="006E163D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B1349" w:rsidRPr="006E16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1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ayer a La Sexta en las franjas de </w:t>
      </w:r>
      <w:r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(6,4% vs. 5,6%) y </w:t>
      </w:r>
      <w:r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F01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(7,6% vs. 6,1%)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al resultado del </w:t>
      </w:r>
      <w:r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largometraje </w:t>
      </w:r>
      <w:r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‘Pura adrenalina: </w:t>
      </w:r>
      <w:proofErr w:type="spellStart"/>
      <w:r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>Fast</w:t>
      </w:r>
      <w:proofErr w:type="spellEnd"/>
      <w:r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proofErr w:type="spellStart"/>
      <w:r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>Furious</w:t>
      </w:r>
      <w:proofErr w:type="spellEnd"/>
      <w:r w:rsidRPr="007F01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7’</w:t>
      </w:r>
      <w:r w:rsidRPr="007F01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(7,9%), segunda opción de la franja tras ‘Supervivientes’ y por delante de las ofertas de La Sexta (6,2%) y Antena 3 (7,5%)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Anotó un 9,8% en </w:t>
      </w:r>
      <w:proofErr w:type="gramStart"/>
      <w:r w:rsidRPr="000877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87794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de 25 a 34 años (14,2%) como su público más afín.</w:t>
      </w:r>
    </w:p>
    <w:p w14:paraId="69FB13F9" w14:textId="603A1A49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71DDE" w14:textId="762966AC" w:rsidR="00087794" w:rsidRPr="00087794" w:rsidRDefault="00087794" w:rsidP="0008779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47223" w:rsidRPr="00E47223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(5,8%) 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se situaron por delante de la Sexta (5,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47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5,2%,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respectivamente).</w:t>
      </w:r>
    </w:p>
    <w:p w14:paraId="76717429" w14:textId="77777777" w:rsidR="00087794" w:rsidRPr="00087794" w:rsidRDefault="00087794" w:rsidP="0008779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166E19" w14:textId="26007692" w:rsidR="00087794" w:rsidRPr="00087794" w:rsidRDefault="00087794" w:rsidP="0008779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‘Factoría de ficción’ (2,</w:t>
      </w:r>
      <w:r w:rsidR="00D56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ayer la 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Pr="000877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temática líder de la jornada</w:t>
      </w:r>
      <w:r w:rsidRPr="000877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20E1D3" w14:textId="59A91AFF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7D7E34" w14:textId="77777777" w:rsidR="007F0123" w:rsidRDefault="007F0123" w:rsidP="0032178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F0123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552D" w14:textId="77777777" w:rsidR="00575FAC" w:rsidRDefault="00575FAC" w:rsidP="00B23904">
      <w:pPr>
        <w:spacing w:after="0" w:line="240" w:lineRule="auto"/>
      </w:pPr>
      <w:r>
        <w:separator/>
      </w:r>
    </w:p>
  </w:endnote>
  <w:endnote w:type="continuationSeparator" w:id="0">
    <w:p w14:paraId="588B5141" w14:textId="77777777" w:rsidR="00575FAC" w:rsidRDefault="00575FA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BD4E" w14:textId="77777777" w:rsidR="00575FAC" w:rsidRDefault="00575FAC" w:rsidP="00B23904">
      <w:pPr>
        <w:spacing w:after="0" w:line="240" w:lineRule="auto"/>
      </w:pPr>
      <w:r>
        <w:separator/>
      </w:r>
    </w:p>
  </w:footnote>
  <w:footnote w:type="continuationSeparator" w:id="0">
    <w:p w14:paraId="28AA9876" w14:textId="77777777" w:rsidR="00575FAC" w:rsidRDefault="00575FA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6203B"/>
    <w:rsid w:val="0007066D"/>
    <w:rsid w:val="00074967"/>
    <w:rsid w:val="00074CC3"/>
    <w:rsid w:val="000827A5"/>
    <w:rsid w:val="00087794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678B6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1716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1781"/>
    <w:rsid w:val="00323407"/>
    <w:rsid w:val="00324271"/>
    <w:rsid w:val="0032471C"/>
    <w:rsid w:val="0032560C"/>
    <w:rsid w:val="0033013A"/>
    <w:rsid w:val="00333C9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59D1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FAC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65A"/>
    <w:rsid w:val="00765BCF"/>
    <w:rsid w:val="00766D09"/>
    <w:rsid w:val="007768C2"/>
    <w:rsid w:val="00781AF7"/>
    <w:rsid w:val="00781EEB"/>
    <w:rsid w:val="00783597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0123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87D24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9766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0B37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136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06D8C"/>
    <w:rsid w:val="00B108BD"/>
    <w:rsid w:val="00B13ACD"/>
    <w:rsid w:val="00B16C2F"/>
    <w:rsid w:val="00B17278"/>
    <w:rsid w:val="00B2132F"/>
    <w:rsid w:val="00B23904"/>
    <w:rsid w:val="00B24636"/>
    <w:rsid w:val="00B24FFF"/>
    <w:rsid w:val="00B31EBD"/>
    <w:rsid w:val="00B3715C"/>
    <w:rsid w:val="00B4003E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56545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47223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2020-01-16T09:01:00Z</cp:lastPrinted>
  <dcterms:created xsi:type="dcterms:W3CDTF">2021-07-09T08:37:00Z</dcterms:created>
  <dcterms:modified xsi:type="dcterms:W3CDTF">2021-07-09T08:48:00Z</dcterms:modified>
</cp:coreProperties>
</file>