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0F6DCD1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750EAEF2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5A02DBAC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DEC1B" w14:textId="3220BB16" w:rsidR="003A79F0" w:rsidRDefault="003A79F0" w:rsidP="0079476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00E06758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353F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467B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23D31EC4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950FE8C" w14:textId="5198E648" w:rsidR="008353FF" w:rsidRPr="008353FF" w:rsidRDefault="008353FF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</w:pPr>
      <w:r w:rsidRPr="008353F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El Inglaterra-Dinamarca de la Eurocopa</w:t>
      </w:r>
      <w:r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, </w:t>
      </w:r>
      <w:r w:rsidRPr="008353F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lo más visto del día</w:t>
      </w:r>
      <w:r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,</w:t>
      </w:r>
      <w:r w:rsidRPr="008353F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y </w:t>
      </w:r>
      <w:r w:rsidR="001C2E87" w:rsidRPr="008353F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‘Supervivientes: Tierra de Nadie’</w:t>
      </w:r>
      <w:r w:rsidRPr="008353F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bate su récord </w:t>
      </w:r>
      <w:r w:rsidR="00B467BD" w:rsidRPr="008353F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de temporada </w:t>
      </w:r>
    </w:p>
    <w:p w14:paraId="386DFE3D" w14:textId="18665EA3" w:rsidR="003A79F0" w:rsidRPr="003A297E" w:rsidRDefault="003A79F0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DB7B86" w14:textId="317455FE" w:rsidR="008353FF" w:rsidRDefault="003A29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8353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353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8353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espectadores</w:t>
      </w:r>
      <w:r w:rsidR="008353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prórroga y un 29,8% y 3,8M en el partido de fútbol, el segundo encuentro de semifinales anotó el minuto de oro con 5,5M de seguidores (36,8%)</w:t>
      </w:r>
    </w:p>
    <w:p w14:paraId="70DB0E79" w14:textId="68B4C0C4" w:rsidR="008353FF" w:rsidRDefault="008353FF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9170EA" w14:textId="7721D944" w:rsidR="008353FF" w:rsidRDefault="008353FF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27% y 2M, ‘Supervivientes: Tierra de Nadie’ en Telecinco </w:t>
      </w:r>
      <w:r w:rsid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batió </w:t>
      </w:r>
      <w:r w:rsidR="002E21D9" w:rsidRP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="002E21D9" w:rsidRP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cord</w:t>
      </w:r>
      <w:r w:rsid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2E21D9" w:rsidRPr="002E21D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temporada tras crecer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4,4 puntos respecto </w:t>
      </w:r>
      <w:r w:rsid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semana pasada </w:t>
      </w:r>
    </w:p>
    <w:p w14:paraId="017E02F2" w14:textId="6F9B3A26" w:rsidR="008353FF" w:rsidRDefault="008353FF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14F82A1" w14:textId="3F8F492C" w:rsidR="008353FF" w:rsidRDefault="008353FF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4924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duplicó a La Sexta (4,1%) en el </w:t>
      </w:r>
      <w:r w:rsidR="0049240F" w:rsidRPr="0049240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4924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</w:t>
      </w:r>
      <w:r w:rsidR="00EA7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 tercer mejor</w:t>
      </w:r>
      <w:r w:rsidR="004924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dato </w:t>
      </w:r>
      <w:r w:rsidR="00EA7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año </w:t>
      </w:r>
      <w:r w:rsidR="004924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pado por</w:t>
      </w:r>
      <w:r w:rsidR="002508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45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 (10,9% y 1,5M)</w:t>
      </w:r>
      <w:r w:rsidR="002E2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508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segunda opción de la noche tras el fútbol</w:t>
      </w:r>
    </w:p>
    <w:p w14:paraId="191A0BA3" w14:textId="0E79FCDE" w:rsidR="0085147E" w:rsidRDefault="0085147E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E73B07" w14:textId="7883DA16" w:rsidR="005E6E8D" w:rsidRDefault="005E6E8D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17635D" w14:textId="083F775E" w:rsidR="005E6E8D" w:rsidRDefault="002C1C06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jornada de éxitos para Telecinco con el segundo </w:t>
      </w:r>
      <w:r w:rsidRPr="002C1C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partido de fútbol de semifinales de la Eurocopa y ‘Supervivientes: Tierra de Nadie’ como principales protagonistas </w:t>
      </w:r>
      <w:r w:rsidR="004924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 miércoles en el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</w:t>
      </w:r>
      <w:r w:rsidR="0049240F">
        <w:rPr>
          <w:rFonts w:ascii="Arial" w:eastAsia="Times New Roman" w:hAnsi="Arial" w:cs="Arial"/>
          <w:bCs/>
          <w:sz w:val="24"/>
          <w:szCs w:val="24"/>
          <w:lang w:eastAsia="es-ES"/>
        </w:rPr>
        <w:t>volvió a liderar 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(21,7%) y todas y cada una de </w:t>
      </w:r>
      <w:r w:rsidR="0049240F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franjas: la </w:t>
      </w:r>
      <w:r w:rsidRPr="00494D2A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(19,4%), </w:t>
      </w:r>
      <w:r w:rsidRPr="00494D2A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(15,2%), </w:t>
      </w:r>
      <w:r w:rsidRPr="00494D2A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(20,5%), </w:t>
      </w:r>
      <w:proofErr w:type="spellStart"/>
      <w:r w:rsidRPr="00494D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494D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(19%), </w:t>
      </w:r>
      <w:r w:rsidRPr="00494D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(27,9%), </w:t>
      </w:r>
      <w:r w:rsidRPr="00494D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494D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(27,2%) y </w:t>
      </w:r>
      <w:proofErr w:type="gramStart"/>
      <w:r w:rsidRPr="00494D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494D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(24,5%). </w:t>
      </w:r>
    </w:p>
    <w:p w14:paraId="6D52A480" w14:textId="7FE66A85" w:rsidR="00692C11" w:rsidRPr="00692C11" w:rsidRDefault="00692C1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FCEBA24" w14:textId="44DA6ECC" w:rsidR="00692C11" w:rsidRPr="00692C11" w:rsidRDefault="00692C1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</w:t>
      </w:r>
      <w:r w:rsidRPr="00692C11">
        <w:rPr>
          <w:rFonts w:ascii="Arial" w:eastAsia="Times New Roman" w:hAnsi="Arial" w:cs="Arial"/>
          <w:b/>
          <w:sz w:val="16"/>
          <w:szCs w:val="16"/>
          <w:lang w:eastAsia="es-ES"/>
        </w:rPr>
        <w:t>Eurocopa</w:t>
      </w:r>
    </w:p>
    <w:p w14:paraId="186B0532" w14:textId="429A3261" w:rsidR="00692C11" w:rsidRPr="00692C11" w:rsidRDefault="00692C1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692C11">
        <w:rPr>
          <w:rFonts w:ascii="Arial" w:eastAsia="Times New Roman" w:hAnsi="Arial" w:cs="Arial"/>
          <w:b/>
          <w:sz w:val="16"/>
          <w:szCs w:val="16"/>
          <w:lang w:eastAsia="es-ES"/>
        </w:rPr>
        <w:t>Inglaterra-Dinamarca</w:t>
      </w:r>
    </w:p>
    <w:p w14:paraId="09BC1006" w14:textId="1C06F8ED" w:rsidR="002C1C06" w:rsidRDefault="005F544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92C11">
        <w:rPr>
          <w:noProof/>
        </w:rPr>
        <w:drawing>
          <wp:anchor distT="0" distB="0" distL="114300" distR="114300" simplePos="0" relativeHeight="251659264" behindDoc="0" locked="0" layoutInCell="1" allowOverlap="1" wp14:anchorId="145531EB" wp14:editId="1652C686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040130" cy="273558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D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692C11" w:rsidRPr="00692C11">
        <w:rPr>
          <w:rFonts w:ascii="Arial" w:eastAsia="Times New Roman" w:hAnsi="Arial" w:cs="Arial"/>
          <w:b/>
          <w:sz w:val="24"/>
          <w:szCs w:val="24"/>
          <w:lang w:eastAsia="es-ES"/>
        </w:rPr>
        <w:t>4,8M de espectadores y un 33,8% de</w:t>
      </w:r>
      <w:r w:rsidR="00692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2C11" w:rsidRPr="00692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92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arroparon e</w:t>
      </w:r>
      <w:r w:rsidR="00494D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94D2A" w:rsidRPr="007A4D48">
        <w:rPr>
          <w:rFonts w:ascii="Arial" w:eastAsia="Times New Roman" w:hAnsi="Arial" w:cs="Arial"/>
          <w:b/>
          <w:sz w:val="24"/>
          <w:szCs w:val="24"/>
          <w:lang w:eastAsia="es-ES"/>
        </w:rPr>
        <w:t>pase de Inglaterra a la final de la Eurocopa en la prórroga</w:t>
      </w:r>
      <w:r w:rsidR="007A4D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frente a Dinamarca</w:t>
      </w:r>
      <w:r w:rsidR="00692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situándose como el </w:t>
      </w:r>
      <w:r w:rsidR="00692C11" w:rsidRPr="005F54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</w:t>
      </w:r>
      <w:r w:rsidR="00494D2A" w:rsidRPr="005F5442">
        <w:rPr>
          <w:rFonts w:ascii="Arial" w:eastAsia="Times New Roman" w:hAnsi="Arial" w:cs="Arial"/>
          <w:b/>
          <w:sz w:val="24"/>
          <w:szCs w:val="24"/>
          <w:lang w:eastAsia="es-ES"/>
        </w:rPr>
        <w:t>más visto del día</w:t>
      </w:r>
      <w:r w:rsidR="00692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Creció 5 puntos hasta anotar un 38,7% en </w:t>
      </w:r>
      <w:proofErr w:type="gramStart"/>
      <w:r w:rsidR="00692C11" w:rsidRPr="00692C1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692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con los espectadores jóvenes de 13 a 24 años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46,7%) y los de la Comunidad de Madrid (38,7%) como sus principales seguidores.</w:t>
      </w:r>
      <w:r w:rsidR="00494D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p w14:paraId="604243D5" w14:textId="53EF17D6" w:rsidR="002C1C06" w:rsidRDefault="002C1C06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724E4D" w14:textId="57AD3104" w:rsidR="005F5442" w:rsidRDefault="005F544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ranking del </w:t>
      </w:r>
      <w:r w:rsidR="00BD087E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 siguió e</w:t>
      </w:r>
      <w:r w:rsidR="00BD087E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F5442">
        <w:rPr>
          <w:rFonts w:ascii="Arial" w:eastAsia="Times New Roman" w:hAnsi="Arial" w:cs="Arial"/>
          <w:b/>
          <w:sz w:val="24"/>
          <w:szCs w:val="24"/>
          <w:lang w:eastAsia="es-ES"/>
        </w:rPr>
        <w:t>partido de fútbol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más de </w:t>
      </w:r>
      <w:r w:rsidRPr="007A4D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3,8M de espectadores, un 29,8% de </w:t>
      </w:r>
      <w:r w:rsidRPr="007A4D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35,7% de </w:t>
      </w:r>
      <w:proofErr w:type="gramStart"/>
      <w:r w:rsidRPr="005F54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Y repitió perfil de público con los jóvenes de 13 a 24 años (42,9%) y de la Comunidad de Madrid (35,4%) como el más afín. Registró el </w:t>
      </w:r>
      <w:r w:rsidRPr="005F5442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22:51 horas, con </w:t>
      </w:r>
      <w:r w:rsidRPr="005F5442">
        <w:rPr>
          <w:rFonts w:ascii="Arial" w:eastAsia="Times New Roman" w:hAnsi="Arial" w:cs="Arial"/>
          <w:b/>
          <w:sz w:val="24"/>
          <w:szCs w:val="24"/>
          <w:lang w:eastAsia="es-ES"/>
        </w:rPr>
        <w:t>5,5M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(36,8%)</w:t>
      </w:r>
      <w:r w:rsidR="007A4D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7A4D48" w:rsidRPr="00BD087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spot</w:t>
      </w:r>
      <w:r w:rsidR="007A4D48" w:rsidRPr="00BD08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mayor audiencia del </w:t>
      </w:r>
      <w:r w:rsidR="00BD087E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="007A4D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(DAMM), a las 22:53 horas, con un 11% de </w:t>
      </w:r>
      <w:r w:rsidR="007A4D48" w:rsidRPr="007A4D4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="007A4D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4B691CBD" w14:textId="066543A3" w:rsidR="00411564" w:rsidRDefault="007A4D48" w:rsidP="00D761B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Tras el encuentro de la Eurocopa, </w:t>
      </w:r>
      <w:r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de forma absoluta </w:t>
      </w:r>
      <w:r w:rsidR="00107C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B5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más de </w:t>
      </w:r>
      <w:r w:rsidR="00B467B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B55C4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un </w:t>
      </w:r>
      <w:r w:rsidR="00B467B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B55C4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55C4"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umó 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semana pasada, a</w:t>
      </w:r>
      <w:r w:rsidR="00D761B7">
        <w:rPr>
          <w:rFonts w:ascii="Arial" w:eastAsia="Times New Roman" w:hAnsi="Arial" w:cs="Arial"/>
          <w:bCs/>
          <w:sz w:val="24"/>
          <w:szCs w:val="24"/>
          <w:lang w:eastAsia="es-ES"/>
        </w:rPr>
        <w:t>lcanzando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6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467BD" w:rsidRPr="00CE0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mayor </w:t>
      </w:r>
      <w:r w:rsidR="00CE0B26" w:rsidRPr="00CE0B26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 w:rsidR="00B467BD" w:rsidRPr="00CE0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esta edición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. F</w:t>
      </w:r>
      <w:r w:rsidR="000B5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la opción favorita para los espectadores </w:t>
      </w:r>
      <w:r w:rsidR="0085147E">
        <w:rPr>
          <w:rFonts w:ascii="Arial" w:eastAsia="Times New Roman" w:hAnsi="Arial" w:cs="Arial"/>
          <w:bCs/>
          <w:sz w:val="24"/>
          <w:szCs w:val="24"/>
          <w:lang w:eastAsia="es-ES"/>
        </w:rPr>
        <w:t>en su franja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duplicando a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oferta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de Antena 3 (1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B010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 pesar de haber anunciado una 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nueva entrega de ‘</w:t>
      </w:r>
      <w:proofErr w:type="spellStart"/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finalmente emitió una edición </w:t>
      </w:r>
      <w:r w:rsidR="008146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imágenes 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galas </w:t>
      </w:r>
      <w:r w:rsidR="008146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concurso 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emitidas anteriormente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6A54905" w14:textId="07442870" w:rsidR="00152DD5" w:rsidRPr="00B5108B" w:rsidRDefault="0025081D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34E026F7" wp14:editId="1A5EE58D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5549900" cy="2152650"/>
            <wp:effectExtent l="0" t="0" r="0" b="0"/>
            <wp:wrapTight wrapText="bothSides">
              <wp:wrapPolygon edited="0">
                <wp:start x="13716" y="1720"/>
                <wp:lineTo x="148" y="2103"/>
                <wp:lineTo x="74" y="6308"/>
                <wp:lineTo x="371" y="18733"/>
                <wp:lineTo x="2743" y="19880"/>
                <wp:lineTo x="5264" y="20262"/>
                <wp:lineTo x="17868" y="20262"/>
                <wp:lineTo x="19277" y="19880"/>
                <wp:lineTo x="20908" y="18542"/>
                <wp:lineTo x="21130" y="6881"/>
                <wp:lineTo x="20686" y="6117"/>
                <wp:lineTo x="19203" y="5161"/>
                <wp:lineTo x="18016" y="3058"/>
                <wp:lineTo x="17497" y="1720"/>
                <wp:lineTo x="13716" y="172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73B1B" w14:textId="75E085C6" w:rsidR="00E66AC1" w:rsidRPr="00A01F01" w:rsidRDefault="005903A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Tierra de Nadie’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entre los espectadores </w:t>
      </w:r>
      <w:r w:rsidR="004115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menores de </w:t>
      </w:r>
      <w:r w:rsidR="006458E8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24 años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464429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61B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11564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>, s</w:t>
      </w:r>
      <w:r w:rsidR="008B15A9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>upera</w:t>
      </w:r>
      <w:r w:rsidR="00411564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 w:rsidR="008B15A9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media nacional 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411564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CE0B26" w:rsidRPr="00CE0B26">
        <w:rPr>
          <w:rFonts w:ascii="Arial" w:eastAsia="Times New Roman" w:hAnsi="Arial" w:cs="Arial"/>
          <w:b/>
          <w:sz w:val="24"/>
          <w:szCs w:val="24"/>
          <w:lang w:eastAsia="es-ES"/>
        </w:rPr>
        <w:t>Galicia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29,8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04FCA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E0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Castilla la Mancha </w:t>
      </w:r>
      <w:r w:rsidR="00CE0B26" w:rsidRPr="00CE0B26">
        <w:rPr>
          <w:rFonts w:ascii="Arial" w:eastAsia="Times New Roman" w:hAnsi="Arial" w:cs="Arial"/>
          <w:bCs/>
          <w:sz w:val="24"/>
          <w:szCs w:val="24"/>
          <w:lang w:eastAsia="es-ES"/>
        </w:rPr>
        <w:t>(28,2%),</w:t>
      </w:r>
      <w:r w:rsidR="00CE0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Cataluña </w:t>
      </w:r>
      <w:r w:rsidR="00CE0B26" w:rsidRPr="00CE0B26">
        <w:rPr>
          <w:rFonts w:ascii="Arial" w:eastAsia="Times New Roman" w:hAnsi="Arial" w:cs="Arial"/>
          <w:bCs/>
          <w:sz w:val="24"/>
          <w:szCs w:val="24"/>
          <w:lang w:eastAsia="es-ES"/>
        </w:rPr>
        <w:t>(27,8%),</w:t>
      </w:r>
      <w:r w:rsidR="00CE0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Asturias 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el denominado </w:t>
      </w:r>
      <w:r w:rsidR="00CE0B26" w:rsidRPr="00CE0B26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CE0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(29,3%)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49FE874" w14:textId="64EFC1FF" w:rsidR="00E66AC1" w:rsidRDefault="00E66AC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2570AD" w14:textId="6440DD21" w:rsidR="00411564" w:rsidRDefault="00411564" w:rsidP="0041156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destacaron los liderazgos de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 verano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64429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64429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5</w:t>
      </w:r>
      <w:r w:rsidR="00464429">
        <w:rPr>
          <w:rFonts w:ascii="Arial" w:eastAsia="Times New Roman" w:hAnsi="Arial" w:cs="Arial"/>
          <w:bCs/>
          <w:sz w:val="24"/>
          <w:szCs w:val="24"/>
          <w:lang w:eastAsia="es-ES"/>
        </w:rPr>
        <w:t>93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</w:t>
      </w:r>
      <w:r w:rsidR="00464429">
        <w:rPr>
          <w:rFonts w:ascii="Arial" w:eastAsia="Times New Roman" w:hAnsi="Arial" w:cs="Arial"/>
          <w:bCs/>
          <w:sz w:val="24"/>
          <w:szCs w:val="24"/>
          <w:lang w:eastAsia="es-ES"/>
        </w:rPr>
        <w:t>con más de 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464429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‘Espejo Público’ (1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354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Y </w:t>
      </w:r>
      <w:r w:rsidR="000D6A27" w:rsidRPr="000D6A27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 w:rsidR="00814631" w:rsidRPr="008146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14631" w:rsidRPr="00814631">
        <w:rPr>
          <w:rFonts w:ascii="Arial" w:eastAsia="Times New Roman" w:hAnsi="Arial" w:cs="Arial"/>
          <w:bCs/>
          <w:sz w:val="24"/>
          <w:szCs w:val="24"/>
          <w:lang w:eastAsia="es-ES"/>
        </w:rPr>
        <w:t>victoria</w:t>
      </w:r>
      <w:r w:rsidR="008146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todas sus 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>ediciones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Limón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0D6A27" w:rsidRPr="000D6A27">
        <w:rPr>
          <w:rFonts w:ascii="Arial" w:eastAsia="Times New Roman" w:hAnsi="Arial" w:cs="Arial"/>
          <w:b/>
          <w:sz w:val="24"/>
          <w:szCs w:val="24"/>
          <w:lang w:eastAsia="es-ES"/>
        </w:rPr>
        <w:t>Tomate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(19,5% y 1,6M) con el debut de Rocío Carrasco,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 la oferta 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>de Antena 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>, 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D6A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18%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respectivamente. </w:t>
      </w:r>
    </w:p>
    <w:p w14:paraId="19606E72" w14:textId="77777777" w:rsidR="00411564" w:rsidRDefault="00411564" w:rsidP="0041156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4A54B5DC" w14:textId="5900C55F" w:rsidR="0025081D" w:rsidRDefault="0025081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‘Supervivientes: Tierra de Nadie’ en </w:t>
      </w:r>
      <w:r w:rsidRPr="0025081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Cuatro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, única opción </w:t>
      </w:r>
      <w:r w:rsidR="002E21D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frente al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fútbol,</w:t>
      </w:r>
      <w:proofErr w:type="gramEnd"/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se impone a Antena 3 y La Sexta </w:t>
      </w:r>
    </w:p>
    <w:p w14:paraId="53640F27" w14:textId="77777777" w:rsidR="0025081D" w:rsidRDefault="0025081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1181E2" w14:textId="6B5A0466" w:rsidR="0025081D" w:rsidRDefault="0025081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</w:t>
      </w:r>
      <w:r w:rsidR="00D761B7"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D761B7">
        <w:rPr>
          <w:rFonts w:ascii="Arial" w:eastAsia="Times New Roman" w:hAnsi="Arial" w:cs="Arial"/>
          <w:bCs/>
          <w:sz w:val="24"/>
          <w:szCs w:val="24"/>
          <w:lang w:eastAsia="es-ES"/>
        </w:rPr>
        <w:t>,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emisión en </w:t>
      </w:r>
      <w:r w:rsidRPr="0025081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25081D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(10,9% y 1,5M) se alzó como la segunda opción para los espectadores tras el fútbol 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Telecinco, con casi 2 puntos de ventaja sobre la oferta de Antena 3 (9%) y el doble 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(3,7%). </w:t>
      </w:r>
    </w:p>
    <w:p w14:paraId="1C9D804E" w14:textId="1076453F" w:rsidR="0025081D" w:rsidRDefault="0025081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4B2EB2" w14:textId="7767BFA7" w:rsidR="0025081D" w:rsidRDefault="0025081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Pr="0025081D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(6,9%) y </w:t>
      </w:r>
      <w:r w:rsidRPr="0025081D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(6,9%) se situaron por delante de la Sexta (5,8% y 5,5%</w:t>
      </w:r>
      <w:r w:rsidR="001F5D30">
        <w:rPr>
          <w:rFonts w:ascii="Arial" w:eastAsia="Times New Roman" w:hAnsi="Arial" w:cs="Arial"/>
          <w:bCs/>
          <w:sz w:val="24"/>
          <w:szCs w:val="24"/>
          <w:lang w:eastAsia="es-ES"/>
        </w:rPr>
        <w:t>, respectivamente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53F4C4B0" w14:textId="520BB0FC" w:rsidR="001F5D30" w:rsidRDefault="001F5D3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919E2C" w14:textId="1906D9DE" w:rsidR="009475B1" w:rsidRDefault="009475B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475B1">
        <w:rPr>
          <w:rFonts w:ascii="Arial" w:eastAsia="Times New Roman" w:hAnsi="Arial" w:cs="Arial"/>
          <w:b/>
          <w:sz w:val="24"/>
          <w:szCs w:val="24"/>
          <w:lang w:eastAsia="es-ES"/>
        </w:rPr>
        <w:t>Cuatro se impuso ayer a La Sexta en el total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(6,4% vs. 6%)</w:t>
      </w:r>
      <w:r w:rsidR="002E21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E21D9" w:rsidRPr="002E21D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(6,5% vs. 6%), </w:t>
      </w:r>
      <w:r w:rsidRPr="009475B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475B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(6,2% vs. 3,6%), </w:t>
      </w:r>
      <w:r w:rsidRPr="009475B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 que duplicó con su </w:t>
      </w:r>
      <w:r w:rsidRPr="00814631">
        <w:rPr>
          <w:rFonts w:ascii="Arial" w:eastAsia="Times New Roman" w:hAnsi="Arial" w:cs="Arial"/>
          <w:b/>
          <w:sz w:val="24"/>
          <w:szCs w:val="24"/>
          <w:lang w:eastAsia="es-ES"/>
        </w:rPr>
        <w:t>tercer mejor dato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(8,6% vs. 4,1%) y en </w:t>
      </w:r>
      <w:proofErr w:type="gramStart"/>
      <w:r w:rsidRPr="009475B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947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(6,7% vs. 6,5%).</w:t>
      </w:r>
    </w:p>
    <w:p w14:paraId="33F84E1D" w14:textId="77777777" w:rsidR="009475B1" w:rsidRDefault="009475B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D8B967" w14:textId="5DB3BCC1" w:rsidR="001F5D30" w:rsidRDefault="001F5D3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Pr="001F5D30">
        <w:rPr>
          <w:rFonts w:ascii="Arial" w:eastAsia="Times New Roman" w:hAnsi="Arial" w:cs="Arial"/>
          <w:b/>
          <w:sz w:val="24"/>
          <w:szCs w:val="24"/>
          <w:lang w:eastAsia="es-ES"/>
        </w:rPr>
        <w:t>‘Factoría de ficción’ (2,6%) y Energy (2,5%)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ayer las </w:t>
      </w:r>
      <w:r w:rsidRPr="00814631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 líderes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1F5D30" w:rsidSect="00814631">
      <w:footerReference w:type="default" r:id="rId10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3E61" w14:textId="77777777" w:rsidR="00C47F0C" w:rsidRDefault="00C47F0C" w:rsidP="00B23904">
      <w:pPr>
        <w:spacing w:after="0" w:line="240" w:lineRule="auto"/>
      </w:pPr>
      <w:r>
        <w:separator/>
      </w:r>
    </w:p>
  </w:endnote>
  <w:endnote w:type="continuationSeparator" w:id="0">
    <w:p w14:paraId="61DC8EB6" w14:textId="77777777" w:rsidR="00C47F0C" w:rsidRDefault="00C47F0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2824" w14:textId="77777777" w:rsidR="00C47F0C" w:rsidRDefault="00C47F0C" w:rsidP="00B23904">
      <w:pPr>
        <w:spacing w:after="0" w:line="240" w:lineRule="auto"/>
      </w:pPr>
      <w:r>
        <w:separator/>
      </w:r>
    </w:p>
  </w:footnote>
  <w:footnote w:type="continuationSeparator" w:id="0">
    <w:p w14:paraId="79B7F1DE" w14:textId="77777777" w:rsidR="00C47F0C" w:rsidRDefault="00C47F0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1B39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56E8C"/>
    <w:rsid w:val="00062952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5C4"/>
    <w:rsid w:val="000B79C6"/>
    <w:rsid w:val="000C1E67"/>
    <w:rsid w:val="000C746D"/>
    <w:rsid w:val="000D047A"/>
    <w:rsid w:val="000D0F01"/>
    <w:rsid w:val="000D13D9"/>
    <w:rsid w:val="000D2CB5"/>
    <w:rsid w:val="000D36ED"/>
    <w:rsid w:val="000D5D85"/>
    <w:rsid w:val="000D6A27"/>
    <w:rsid w:val="000E079F"/>
    <w:rsid w:val="000E45AD"/>
    <w:rsid w:val="000E5115"/>
    <w:rsid w:val="000E5682"/>
    <w:rsid w:val="000E7B34"/>
    <w:rsid w:val="000F2ED3"/>
    <w:rsid w:val="000F4828"/>
    <w:rsid w:val="000F6359"/>
    <w:rsid w:val="0010016D"/>
    <w:rsid w:val="00102F0B"/>
    <w:rsid w:val="00107C10"/>
    <w:rsid w:val="0011131C"/>
    <w:rsid w:val="00112585"/>
    <w:rsid w:val="001202C2"/>
    <w:rsid w:val="00123A46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19F2"/>
    <w:rsid w:val="00184007"/>
    <w:rsid w:val="00184939"/>
    <w:rsid w:val="001866EE"/>
    <w:rsid w:val="00192A87"/>
    <w:rsid w:val="00194351"/>
    <w:rsid w:val="00196593"/>
    <w:rsid w:val="00196F49"/>
    <w:rsid w:val="001A0EA2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3031"/>
    <w:rsid w:val="001F303B"/>
    <w:rsid w:val="001F5D30"/>
    <w:rsid w:val="001F640A"/>
    <w:rsid w:val="001F7929"/>
    <w:rsid w:val="00200123"/>
    <w:rsid w:val="0020467B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081D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1C06"/>
    <w:rsid w:val="002C40E7"/>
    <w:rsid w:val="002C4D52"/>
    <w:rsid w:val="002C6DAD"/>
    <w:rsid w:val="002C7272"/>
    <w:rsid w:val="002D16D5"/>
    <w:rsid w:val="002D414F"/>
    <w:rsid w:val="002D5364"/>
    <w:rsid w:val="002D6374"/>
    <w:rsid w:val="002E21D9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43E1D"/>
    <w:rsid w:val="0034557A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A79F0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1564"/>
    <w:rsid w:val="004127F6"/>
    <w:rsid w:val="0041342B"/>
    <w:rsid w:val="00421360"/>
    <w:rsid w:val="00425B2D"/>
    <w:rsid w:val="0043079B"/>
    <w:rsid w:val="00432241"/>
    <w:rsid w:val="0043377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29"/>
    <w:rsid w:val="0046614D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40F"/>
    <w:rsid w:val="0049276C"/>
    <w:rsid w:val="00494D2A"/>
    <w:rsid w:val="00496277"/>
    <w:rsid w:val="00496340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4031"/>
    <w:rsid w:val="004B68C6"/>
    <w:rsid w:val="004B70D7"/>
    <w:rsid w:val="004C1043"/>
    <w:rsid w:val="004C1E3E"/>
    <w:rsid w:val="004C61F4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03A2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6E8D"/>
    <w:rsid w:val="005E7A2F"/>
    <w:rsid w:val="005F12F6"/>
    <w:rsid w:val="005F38DE"/>
    <w:rsid w:val="005F42A0"/>
    <w:rsid w:val="005F4350"/>
    <w:rsid w:val="005F47E9"/>
    <w:rsid w:val="005F5442"/>
    <w:rsid w:val="005F6331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458E8"/>
    <w:rsid w:val="006502A2"/>
    <w:rsid w:val="00653479"/>
    <w:rsid w:val="006535FC"/>
    <w:rsid w:val="00653C39"/>
    <w:rsid w:val="006573AE"/>
    <w:rsid w:val="00657610"/>
    <w:rsid w:val="00661207"/>
    <w:rsid w:val="006617A6"/>
    <w:rsid w:val="00663C4C"/>
    <w:rsid w:val="006652AB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2C11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D7E74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16BB4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3BB5"/>
    <w:rsid w:val="007A4D48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0361"/>
    <w:rsid w:val="007C1DE5"/>
    <w:rsid w:val="007C4060"/>
    <w:rsid w:val="007D0E85"/>
    <w:rsid w:val="007D28EC"/>
    <w:rsid w:val="007D67E1"/>
    <w:rsid w:val="007E7F63"/>
    <w:rsid w:val="007F2FD5"/>
    <w:rsid w:val="007F7AED"/>
    <w:rsid w:val="00814631"/>
    <w:rsid w:val="008251B8"/>
    <w:rsid w:val="00825D2B"/>
    <w:rsid w:val="008337DC"/>
    <w:rsid w:val="00833B61"/>
    <w:rsid w:val="008353FF"/>
    <w:rsid w:val="00845C83"/>
    <w:rsid w:val="008503D3"/>
    <w:rsid w:val="008512B9"/>
    <w:rsid w:val="0085147E"/>
    <w:rsid w:val="00851A6D"/>
    <w:rsid w:val="00855414"/>
    <w:rsid w:val="00856AFD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3945"/>
    <w:rsid w:val="008B15A9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4C52"/>
    <w:rsid w:val="008E748A"/>
    <w:rsid w:val="008F26F0"/>
    <w:rsid w:val="008F46BE"/>
    <w:rsid w:val="008F4CEE"/>
    <w:rsid w:val="00901F6C"/>
    <w:rsid w:val="00906ECE"/>
    <w:rsid w:val="00911BFD"/>
    <w:rsid w:val="00911E3C"/>
    <w:rsid w:val="009124B1"/>
    <w:rsid w:val="00915C98"/>
    <w:rsid w:val="009211C4"/>
    <w:rsid w:val="00922D65"/>
    <w:rsid w:val="009268C4"/>
    <w:rsid w:val="00930D26"/>
    <w:rsid w:val="009325EB"/>
    <w:rsid w:val="00932E20"/>
    <w:rsid w:val="0093669C"/>
    <w:rsid w:val="009475B1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93CAC"/>
    <w:rsid w:val="009A78DA"/>
    <w:rsid w:val="009B4370"/>
    <w:rsid w:val="009B45FF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F01"/>
    <w:rsid w:val="00A0433B"/>
    <w:rsid w:val="00A04FCA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06CF"/>
    <w:rsid w:val="00A423BC"/>
    <w:rsid w:val="00A436B6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4D9C"/>
    <w:rsid w:val="00A65EBD"/>
    <w:rsid w:val="00A704DA"/>
    <w:rsid w:val="00A70DD3"/>
    <w:rsid w:val="00A7201D"/>
    <w:rsid w:val="00A73639"/>
    <w:rsid w:val="00A77B1D"/>
    <w:rsid w:val="00A905E3"/>
    <w:rsid w:val="00A97A39"/>
    <w:rsid w:val="00AA45C8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10D2"/>
    <w:rsid w:val="00B023B3"/>
    <w:rsid w:val="00B06190"/>
    <w:rsid w:val="00B108BD"/>
    <w:rsid w:val="00B17278"/>
    <w:rsid w:val="00B2132F"/>
    <w:rsid w:val="00B23904"/>
    <w:rsid w:val="00B24636"/>
    <w:rsid w:val="00B24FFF"/>
    <w:rsid w:val="00B25FBD"/>
    <w:rsid w:val="00B27ECD"/>
    <w:rsid w:val="00B3715C"/>
    <w:rsid w:val="00B40F7E"/>
    <w:rsid w:val="00B467BD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2B2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08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4556A"/>
    <w:rsid w:val="00C47F0C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6752"/>
    <w:rsid w:val="00C87AD8"/>
    <w:rsid w:val="00C911D1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0B26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2C2A"/>
    <w:rsid w:val="00D05A3E"/>
    <w:rsid w:val="00D0783B"/>
    <w:rsid w:val="00D11532"/>
    <w:rsid w:val="00D13130"/>
    <w:rsid w:val="00D167CB"/>
    <w:rsid w:val="00D2013F"/>
    <w:rsid w:val="00D26D85"/>
    <w:rsid w:val="00D324AC"/>
    <w:rsid w:val="00D32BF5"/>
    <w:rsid w:val="00D342DA"/>
    <w:rsid w:val="00D34F15"/>
    <w:rsid w:val="00D35BF5"/>
    <w:rsid w:val="00D36CB7"/>
    <w:rsid w:val="00D4167E"/>
    <w:rsid w:val="00D41EA6"/>
    <w:rsid w:val="00D4267B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1B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A79E6"/>
    <w:rsid w:val="00DA7F7D"/>
    <w:rsid w:val="00DB086C"/>
    <w:rsid w:val="00DB7CEE"/>
    <w:rsid w:val="00DC47B1"/>
    <w:rsid w:val="00DD1AA4"/>
    <w:rsid w:val="00DD2B92"/>
    <w:rsid w:val="00DD310B"/>
    <w:rsid w:val="00DD4F40"/>
    <w:rsid w:val="00DD6865"/>
    <w:rsid w:val="00DD7B69"/>
    <w:rsid w:val="00DE21EE"/>
    <w:rsid w:val="00DE658E"/>
    <w:rsid w:val="00DE6C67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A7E83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E36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4297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2016"/>
    <w:rsid w:val="00FC3966"/>
    <w:rsid w:val="00FC42A2"/>
    <w:rsid w:val="00FC42CF"/>
    <w:rsid w:val="00FC6610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46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2021-07-08T10:03:00Z</dcterms:created>
  <dcterms:modified xsi:type="dcterms:W3CDTF">2021-07-08T10:03:00Z</dcterms:modified>
</cp:coreProperties>
</file>