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941E0" w14:textId="77777777" w:rsidR="001B3B90" w:rsidRDefault="001B3B90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E289C2" w14:textId="77777777" w:rsidR="001B3B90" w:rsidRDefault="001B3B90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1E534998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806F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5806F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8974977" w14:textId="77777777" w:rsidR="001B3B90" w:rsidRDefault="001B3B90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</w:p>
    <w:p w14:paraId="08B96F0F" w14:textId="475CA79F" w:rsidR="006D7CE8" w:rsidRPr="00E82945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‘Supervivientes</w:t>
      </w:r>
      <w:r w:rsidR="00056EB6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Conexión Honduras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, lo más visto del día, supera en más de 5 puntos a la oferta de Antena 3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p w14:paraId="66F43A9D" w14:textId="77777777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1D6FA0" w14:textId="2D1F7E15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 impuso en 3,1 puntos en la franja coincidente </w:t>
      </w:r>
      <w:r w:rsidR="00FD65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estreno de ‘Tierra amarga’ (12,7% y 1,6M)</w:t>
      </w:r>
      <w:r w:rsidR="005B3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condujo al mínimo histórico de espectadores de ‘Mi hija’ (16,8% y 1,7M)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al </w:t>
      </w:r>
      <w:r w:rsidR="005B3A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los jóvenes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 años</w:t>
      </w:r>
      <w:r w:rsidR="00620035" w:rsidRP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registró el minuto de oro con 2,4M (20,9%)</w:t>
      </w:r>
    </w:p>
    <w:p w14:paraId="324440F8" w14:textId="2B519F70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5D9223" w14:textId="7E0CBAAF" w:rsidR="00E6304B" w:rsidRDefault="00DC2412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69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(5,8%) 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casi 1 punto a La Sexta (4,9%) en el día, a la que también superó</w:t>
      </w:r>
      <w:r w:rsidR="00E630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prácticamente todas las franjas </w:t>
      </w:r>
    </w:p>
    <w:p w14:paraId="5AAED250" w14:textId="09A95AF8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2DF927" w14:textId="77777777" w:rsidR="00BA1E98" w:rsidRDefault="00BA1E98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469D77" w14:textId="673122BE" w:rsidR="001A637C" w:rsidRPr="00A235E5" w:rsidRDefault="00E6304B" w:rsidP="00E6304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Nueva v</w:t>
      </w:r>
      <w:r w:rsidR="00AA69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ictoria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A637C" w:rsidRPr="003A2B1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6304B">
        <w:rPr>
          <w:rFonts w:ascii="Arial" w:eastAsia="Times New Roman" w:hAnsi="Arial" w:cs="Arial"/>
          <w:bCs/>
          <w:sz w:val="24"/>
          <w:szCs w:val="24"/>
          <w:lang w:eastAsia="es-ES"/>
        </w:rPr>
        <w:t>(1,8M y 18,7%)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situarse como </w:t>
      </w:r>
      <w:r w:rsidRPr="00E6304B">
        <w:rPr>
          <w:rFonts w:ascii="Arial" w:eastAsia="Times New Roman" w:hAnsi="Arial" w:cs="Arial"/>
          <w:b/>
          <w:sz w:val="24"/>
          <w:szCs w:val="24"/>
          <w:lang w:eastAsia="es-ES"/>
        </w:rPr>
        <w:t>lo más visto del domingo</w:t>
      </w:r>
      <w:r w:rsidR="00FD65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superando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5,3 puntos a la oferta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(13,4%) en cuya franja estrenó su nueva apuesta, la </w:t>
      </w:r>
      <w:r w:rsidR="00FD65D1">
        <w:rPr>
          <w:rFonts w:ascii="Arial" w:eastAsia="Times New Roman" w:hAnsi="Arial" w:cs="Arial"/>
          <w:bCs/>
          <w:sz w:val="24"/>
          <w:szCs w:val="24"/>
          <w:lang w:eastAsia="es-ES"/>
        </w:rPr>
        <w:t>telenovela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‘Tierra amarga’ (12,7% y 1,6M)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‘Mi hija’ (16,8% y 1,7M)</w:t>
      </w:r>
      <w:r w:rsidR="001B3B90">
        <w:rPr>
          <w:rFonts w:ascii="Arial" w:eastAsia="Times New Roman" w:hAnsi="Arial" w:cs="Arial"/>
          <w:bCs/>
          <w:sz w:val="24"/>
          <w:szCs w:val="24"/>
          <w:lang w:eastAsia="es-ES"/>
        </w:rPr>
        <w:t>, que registró mínimo histórico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a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lcanzó sus mayores seguidores entre los jóvenes </w:t>
      </w:r>
      <w:r w:rsidRPr="00A756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menores de </w:t>
      </w:r>
      <w:r w:rsidR="00465E03" w:rsidRPr="00A75664">
        <w:rPr>
          <w:rFonts w:ascii="Arial" w:eastAsia="Times New Roman" w:hAnsi="Arial" w:cs="Arial"/>
          <w:b/>
          <w:sz w:val="24"/>
          <w:szCs w:val="24"/>
          <w:lang w:eastAsia="es-ES"/>
        </w:rPr>
        <w:t>24 años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>21,9</w:t>
      </w:r>
      <w:r w:rsidR="00465E0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8,3% 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Antena 3 en esta horquilla de edad y cuyo público más afín fueron los mayores de 65 años (19,4%). Por 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>mercados regionales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Madrid 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(22,2%),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(22%), </w:t>
      </w:r>
      <w:r w:rsidR="008D3014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20,6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Castilla la Mancha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(20,6%), </w:t>
      </w:r>
      <w:r w:rsidR="00A13AC8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(20%) y </w:t>
      </w:r>
      <w:r w:rsidR="008D3014" w:rsidRPr="00A13AC8">
        <w:rPr>
          <w:rFonts w:ascii="Arial" w:eastAsia="Times New Roman" w:hAnsi="Arial" w:cs="Arial"/>
          <w:b/>
          <w:sz w:val="24"/>
          <w:szCs w:val="24"/>
          <w:lang w:eastAsia="es-ES"/>
        </w:rPr>
        <w:t>Galicia</w:t>
      </w:r>
      <w:r w:rsidR="008D3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13AC8">
        <w:rPr>
          <w:rFonts w:ascii="Arial" w:eastAsia="Times New Roman" w:hAnsi="Arial" w:cs="Arial"/>
          <w:bCs/>
          <w:sz w:val="24"/>
          <w:szCs w:val="24"/>
          <w:lang w:eastAsia="es-ES"/>
        </w:rPr>
        <w:t>19,7%)</w:t>
      </w:r>
      <w:r w:rsidR="00A756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superar la media nacional.</w:t>
      </w:r>
    </w:p>
    <w:p w14:paraId="0213CD0E" w14:textId="64CB1C76" w:rsidR="001A637C" w:rsidRDefault="005B3A5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CAE3813" w14:textId="57AA5D9A" w:rsidR="001A637C" w:rsidRPr="002C3349" w:rsidRDefault="006662CB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Asimismo, en Telecinco también 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1A6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1A637C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1,2M) 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B3A5B" w:rsidRPr="005B3A5B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(12,6% y 1,2M), al superar la oferta de Antena 3 en sus respectivas franjas (11,2% y 12,1%).</w:t>
      </w:r>
    </w:p>
    <w:p w14:paraId="52AA0E44" w14:textId="3997BC75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F21D9E" w14:textId="186173DE" w:rsidR="001A637C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domingo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5B3A5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Fue la 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favorita del público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franjas </w:t>
      </w:r>
      <w:r w:rsidRPr="0089750C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4201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0F618B" w:rsidRPr="000F618B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(13,5%), 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209D2" w:rsidRPr="003A2B1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,3%);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6662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También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alzó con el triunfo del </w:t>
      </w:r>
      <w:proofErr w:type="gramStart"/>
      <w:r w:rsidRPr="001710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</w:t>
      </w:r>
      <w:r w:rsidR="000F61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209D2">
        <w:rPr>
          <w:rFonts w:ascii="Arial" w:eastAsia="Times New Roman" w:hAnsi="Arial" w:cs="Arial"/>
          <w:bCs/>
          <w:sz w:val="24"/>
          <w:szCs w:val="24"/>
          <w:lang w:eastAsia="es-ES"/>
        </w:rPr>
        <w:t>,4% de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672B36" w14:textId="7A8BF694" w:rsidR="001A637C" w:rsidRPr="002C3349" w:rsidRDefault="001A637C" w:rsidP="001A637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EFF9079" w14:textId="55DC5039" w:rsidR="00A249A6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3A2B13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 w:rsidR="00A249A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se impone a La Sexta en el día y en prácticamente todas las franjas</w:t>
      </w:r>
      <w:r w:rsidR="00D20C11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 aún sin fútbol</w:t>
      </w:r>
    </w:p>
    <w:p w14:paraId="22923905" w14:textId="3FDEFDDC" w:rsidR="001A637C" w:rsidRDefault="001A637C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9D6AD6" w14:textId="4531DC0A" w:rsidR="00D20C11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A2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764990" w:rsidRPr="0076499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649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(5,8%) aventajó en el total día a su inmediato competidor, La Sexta (4,9%)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>. De igual forma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>le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en la mayoría de </w:t>
      </w:r>
      <w:proofErr w:type="gramStart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(5% vs. 4%), </w:t>
      </w:r>
      <w:r w:rsidR="00A249A6" w:rsidRPr="00A249A6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(6,4% vs. 5,2%);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6,1% vs. 4,9%),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(7,6% vs. 2,7%), </w:t>
      </w:r>
      <w:proofErr w:type="spellStart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(6,1% vs. 4,9%) y </w:t>
      </w:r>
      <w:r w:rsidR="00A249A6" w:rsidRPr="00D20C1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A249A6" w:rsidRPr="00D20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49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20C11">
        <w:rPr>
          <w:rFonts w:ascii="Arial" w:eastAsia="Times New Roman" w:hAnsi="Arial" w:cs="Arial"/>
          <w:bCs/>
          <w:sz w:val="24"/>
          <w:szCs w:val="24"/>
          <w:lang w:eastAsia="es-ES"/>
        </w:rPr>
        <w:t>7% vs. 5,1%).</w:t>
      </w:r>
    </w:p>
    <w:p w14:paraId="551264CE" w14:textId="0FE9F6DA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3D658B" w14:textId="77777777" w:rsidR="006726E4" w:rsidRDefault="006726E4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DBC6DC" w14:textId="77777777" w:rsidR="006726E4" w:rsidRDefault="006726E4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778EAD" w14:textId="77777777" w:rsidR="006726E4" w:rsidRDefault="006726E4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504F85" w14:textId="16C06839" w:rsidR="000F14FB" w:rsidRPr="007C3993" w:rsidRDefault="00D20C11" w:rsidP="000F14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pesar de ser una jornada de descanso en la que no se celebraron encuentros de fútbol de la Eurocopa, la programación de Cuatro acaparó un mayor interés </w:t>
      </w:r>
      <w:r w:rsidR="00B87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parte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espectadores frente a su competidor,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resultado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(6,4% y 658.000) por delante de La Sexta (3,6%)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26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0F14FB" w:rsidRPr="0014321B">
        <w:rPr>
          <w:rFonts w:ascii="Arial" w:eastAsia="Times New Roman" w:hAnsi="Arial" w:cs="Arial"/>
          <w:b/>
          <w:sz w:val="24"/>
          <w:szCs w:val="24"/>
          <w:lang w:eastAsia="es-ES"/>
        </w:rPr>
        <w:t>‘Cuatro al día fin de semana’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registrar su</w:t>
      </w:r>
      <w:r w:rsidR="006726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cuota de pantalla de las últimas 7 semanas 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726E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F14F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</w:p>
    <w:p w14:paraId="1DAFB1E2" w14:textId="09D418B2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1C90" w14:textId="1813927C" w:rsidR="006726E4" w:rsidRDefault="006726E4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las televisiones temáticas,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actoría de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más vista con un 2,9% de </w:t>
      </w:r>
      <w:r w:rsidRPr="006726E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película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Fast</w:t>
      </w:r>
      <w:proofErr w:type="spellEnd"/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proofErr w:type="spellStart"/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Furious</w:t>
      </w:r>
      <w:proofErr w:type="spellEnd"/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: aún más rápido’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(467.000 y 4%) como la emisión con mayor audiencia en estas televisiones.</w:t>
      </w:r>
    </w:p>
    <w:p w14:paraId="3EB47CB0" w14:textId="77777777" w:rsidR="006726E4" w:rsidRDefault="006726E4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726E4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14E" w14:textId="77777777" w:rsidR="003F185D" w:rsidRDefault="003F185D" w:rsidP="00B23904">
      <w:pPr>
        <w:spacing w:after="0" w:line="240" w:lineRule="auto"/>
      </w:pPr>
      <w:r>
        <w:separator/>
      </w:r>
    </w:p>
  </w:endnote>
  <w:endnote w:type="continuationSeparator" w:id="0">
    <w:p w14:paraId="16669C1C" w14:textId="77777777" w:rsidR="003F185D" w:rsidRDefault="003F18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4D93" w14:textId="77777777" w:rsidR="003F185D" w:rsidRDefault="003F185D" w:rsidP="00B23904">
      <w:pPr>
        <w:spacing w:after="0" w:line="240" w:lineRule="auto"/>
      </w:pPr>
      <w:r>
        <w:separator/>
      </w:r>
    </w:p>
  </w:footnote>
  <w:footnote w:type="continuationSeparator" w:id="0">
    <w:p w14:paraId="48ED0DFE" w14:textId="77777777" w:rsidR="003F185D" w:rsidRDefault="003F185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5E6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3A5B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0035"/>
    <w:rsid w:val="00622499"/>
    <w:rsid w:val="006277FB"/>
    <w:rsid w:val="00631F6E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3AC8"/>
    <w:rsid w:val="00A207AF"/>
    <w:rsid w:val="00A23006"/>
    <w:rsid w:val="00A235E5"/>
    <w:rsid w:val="00A249A6"/>
    <w:rsid w:val="00A260BF"/>
    <w:rsid w:val="00A312AE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0FE5"/>
    <w:rsid w:val="00B17278"/>
    <w:rsid w:val="00B2132F"/>
    <w:rsid w:val="00B23904"/>
    <w:rsid w:val="00B24636"/>
    <w:rsid w:val="00B24FFF"/>
    <w:rsid w:val="00B25592"/>
    <w:rsid w:val="00B31EBD"/>
    <w:rsid w:val="00B345DE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0C11"/>
    <w:rsid w:val="00D26D85"/>
    <w:rsid w:val="00D32232"/>
    <w:rsid w:val="00D34E7F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2021-07-05T10:54:00Z</dcterms:created>
  <dcterms:modified xsi:type="dcterms:W3CDTF">2021-07-05T10:59:00Z</dcterms:modified>
</cp:coreProperties>
</file>