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D7BB9" w14:textId="3BABC57E" w:rsidR="009601E7" w:rsidRPr="00343DB8" w:rsidRDefault="00917EAF" w:rsidP="00EB2A1F">
      <w:pPr>
        <w:tabs>
          <w:tab w:val="left" w:pos="4962"/>
        </w:tabs>
        <w:spacing w:after="0" w:line="240" w:lineRule="auto"/>
        <w:jc w:val="right"/>
        <w:rPr>
          <w:rFonts w:ascii="Arial" w:eastAsia="Arial" w:hAnsi="Arial" w:cs="Arial"/>
          <w:sz w:val="24"/>
        </w:rPr>
      </w:pPr>
      <w:r w:rsidRPr="00343DB8"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49BE2129" wp14:editId="39D664EA">
            <wp:simplePos x="0" y="0"/>
            <wp:positionH relativeFrom="margin">
              <wp:posOffset>2967355</wp:posOffset>
            </wp:positionH>
            <wp:positionV relativeFrom="margin">
              <wp:posOffset>-219075</wp:posOffset>
            </wp:positionV>
            <wp:extent cx="2932430" cy="676910"/>
            <wp:effectExtent l="0" t="0" r="0" b="889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5202E57" w14:textId="77777777" w:rsidR="009601E7" w:rsidRPr="00343DB8" w:rsidRDefault="009601E7" w:rsidP="009601E7">
      <w:pPr>
        <w:spacing w:after="0" w:line="240" w:lineRule="auto"/>
        <w:rPr>
          <w:rFonts w:ascii="Arial" w:eastAsia="Arial" w:hAnsi="Arial" w:cs="Arial"/>
          <w:sz w:val="24"/>
        </w:rPr>
      </w:pPr>
    </w:p>
    <w:p w14:paraId="52284367" w14:textId="77777777" w:rsidR="00A65F97" w:rsidRPr="00343DB8" w:rsidRDefault="00A65F97" w:rsidP="009601E7">
      <w:pPr>
        <w:spacing w:after="0" w:line="240" w:lineRule="auto"/>
        <w:rPr>
          <w:rFonts w:ascii="Arial" w:eastAsia="Arial" w:hAnsi="Arial" w:cs="Arial"/>
          <w:sz w:val="24"/>
        </w:rPr>
      </w:pPr>
    </w:p>
    <w:p w14:paraId="4FE58082" w14:textId="3B3BCF04" w:rsidR="005B304F" w:rsidRPr="00343DB8" w:rsidRDefault="00F0266E" w:rsidP="009601E7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  <w:r w:rsidRPr="00343DB8">
        <w:rPr>
          <w:rFonts w:ascii="Arial" w:eastAsia="Arial" w:hAnsi="Arial" w:cs="Arial"/>
          <w:sz w:val="24"/>
        </w:rPr>
        <w:t xml:space="preserve">Madrid, </w:t>
      </w:r>
      <w:r w:rsidR="002E72DA">
        <w:rPr>
          <w:rFonts w:ascii="Arial" w:eastAsia="Arial" w:hAnsi="Arial" w:cs="Arial"/>
          <w:sz w:val="24"/>
        </w:rPr>
        <w:t>1</w:t>
      </w:r>
      <w:r w:rsidRPr="00343DB8">
        <w:rPr>
          <w:rFonts w:ascii="Arial" w:eastAsia="Arial" w:hAnsi="Arial" w:cs="Arial"/>
          <w:sz w:val="24"/>
        </w:rPr>
        <w:t xml:space="preserve"> de </w:t>
      </w:r>
      <w:r w:rsidR="00A96967">
        <w:rPr>
          <w:rFonts w:ascii="Arial" w:eastAsia="Arial" w:hAnsi="Arial" w:cs="Arial"/>
          <w:sz w:val="24"/>
        </w:rPr>
        <w:t>junio</w:t>
      </w:r>
      <w:r w:rsidRPr="00343DB8">
        <w:rPr>
          <w:rFonts w:ascii="Arial" w:eastAsia="Arial" w:hAnsi="Arial" w:cs="Arial"/>
          <w:sz w:val="24"/>
        </w:rPr>
        <w:t xml:space="preserve"> de 202</w:t>
      </w:r>
      <w:r w:rsidR="00366C49" w:rsidRPr="00343DB8">
        <w:rPr>
          <w:rFonts w:ascii="Arial" w:eastAsia="Arial" w:hAnsi="Arial" w:cs="Arial"/>
          <w:sz w:val="24"/>
        </w:rPr>
        <w:t>1</w:t>
      </w:r>
    </w:p>
    <w:p w14:paraId="637D79E8" w14:textId="5FBA97C4" w:rsidR="004E268E" w:rsidRPr="00343DB8" w:rsidRDefault="004E268E" w:rsidP="00DC6F8B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145D15EB" w14:textId="77777777" w:rsidR="004E268E" w:rsidRPr="00343DB8" w:rsidRDefault="004E268E" w:rsidP="00DC6F8B">
      <w:pPr>
        <w:spacing w:after="0" w:line="240" w:lineRule="auto"/>
        <w:jc w:val="center"/>
        <w:rPr>
          <w:rFonts w:ascii="Arial" w:eastAsia="Arial" w:hAnsi="Arial" w:cs="Arial"/>
          <w:b/>
          <w:bCs/>
          <w:color w:val="002C5F"/>
          <w:sz w:val="10"/>
          <w:szCs w:val="10"/>
        </w:rPr>
      </w:pPr>
    </w:p>
    <w:p w14:paraId="41F67A5B" w14:textId="45095369" w:rsidR="00DC0356" w:rsidRPr="00DB302E" w:rsidRDefault="005228B3" w:rsidP="00DC6F8B">
      <w:pPr>
        <w:spacing w:after="0" w:line="240" w:lineRule="auto"/>
        <w:jc w:val="center"/>
        <w:rPr>
          <w:rFonts w:ascii="Arial" w:eastAsia="Arial" w:hAnsi="Arial" w:cs="Arial"/>
          <w:b/>
          <w:bCs/>
          <w:color w:val="002C5F"/>
          <w:sz w:val="40"/>
          <w:szCs w:val="40"/>
        </w:rPr>
      </w:pPr>
      <w:r>
        <w:rPr>
          <w:rFonts w:ascii="Arial" w:eastAsia="Arial" w:hAnsi="Arial" w:cs="Arial"/>
          <w:b/>
          <w:bCs/>
          <w:color w:val="002C5F"/>
          <w:sz w:val="40"/>
          <w:szCs w:val="40"/>
        </w:rPr>
        <w:t xml:space="preserve">La </w:t>
      </w:r>
      <w:r w:rsidR="00AB25C9">
        <w:rPr>
          <w:rFonts w:ascii="Arial" w:eastAsia="Arial" w:hAnsi="Arial" w:cs="Arial"/>
          <w:b/>
          <w:bCs/>
          <w:color w:val="002C5F"/>
          <w:sz w:val="40"/>
          <w:szCs w:val="40"/>
        </w:rPr>
        <w:t>conexión</w:t>
      </w:r>
      <w:r>
        <w:rPr>
          <w:rFonts w:ascii="Arial" w:eastAsia="Arial" w:hAnsi="Arial" w:cs="Arial"/>
          <w:b/>
          <w:bCs/>
          <w:color w:val="002C5F"/>
          <w:sz w:val="40"/>
          <w:szCs w:val="40"/>
        </w:rPr>
        <w:t xml:space="preserve"> de Telecinco con los</w:t>
      </w:r>
      <w:r w:rsidR="00DB302E" w:rsidRPr="00DB302E">
        <w:rPr>
          <w:rFonts w:ascii="Arial" w:eastAsia="Arial" w:hAnsi="Arial" w:cs="Arial"/>
          <w:b/>
          <w:bCs/>
          <w:color w:val="002C5F"/>
          <w:sz w:val="40"/>
          <w:szCs w:val="40"/>
        </w:rPr>
        <w:t xml:space="preserve"> jóvenes</w:t>
      </w:r>
      <w:r>
        <w:rPr>
          <w:rFonts w:ascii="Arial" w:eastAsia="Arial" w:hAnsi="Arial" w:cs="Arial"/>
          <w:b/>
          <w:bCs/>
          <w:color w:val="002C5F"/>
          <w:sz w:val="40"/>
          <w:szCs w:val="40"/>
        </w:rPr>
        <w:t xml:space="preserve"> le impulsa a un nuevo liderazgo mensual</w:t>
      </w:r>
      <w:r w:rsidR="00DB302E" w:rsidRPr="00DB302E">
        <w:rPr>
          <w:rFonts w:ascii="Arial" w:eastAsia="Arial" w:hAnsi="Arial" w:cs="Arial"/>
          <w:b/>
          <w:bCs/>
          <w:color w:val="002C5F"/>
          <w:sz w:val="40"/>
          <w:szCs w:val="40"/>
        </w:rPr>
        <w:t xml:space="preserve"> </w:t>
      </w:r>
      <w:r w:rsidR="00202A6B">
        <w:rPr>
          <w:rFonts w:ascii="Arial" w:eastAsia="Arial" w:hAnsi="Arial" w:cs="Arial"/>
          <w:b/>
          <w:bCs/>
          <w:color w:val="002C5F"/>
          <w:sz w:val="40"/>
          <w:szCs w:val="40"/>
        </w:rPr>
        <w:t xml:space="preserve">de audiencias </w:t>
      </w:r>
      <w:r>
        <w:rPr>
          <w:rFonts w:ascii="Arial" w:eastAsia="Arial" w:hAnsi="Arial" w:cs="Arial"/>
          <w:b/>
          <w:bCs/>
          <w:color w:val="002C5F"/>
          <w:sz w:val="40"/>
          <w:szCs w:val="40"/>
        </w:rPr>
        <w:t xml:space="preserve">y a ser </w:t>
      </w:r>
      <w:r w:rsidR="00202A6B">
        <w:rPr>
          <w:rFonts w:ascii="Arial" w:eastAsia="Arial" w:hAnsi="Arial" w:cs="Arial"/>
          <w:b/>
          <w:bCs/>
          <w:color w:val="002C5F"/>
          <w:sz w:val="40"/>
          <w:szCs w:val="40"/>
        </w:rPr>
        <w:t xml:space="preserve">referente </w:t>
      </w:r>
      <w:r>
        <w:rPr>
          <w:rFonts w:ascii="Arial" w:eastAsia="Arial" w:hAnsi="Arial" w:cs="Arial"/>
          <w:b/>
          <w:bCs/>
          <w:color w:val="002C5F"/>
          <w:sz w:val="40"/>
          <w:szCs w:val="40"/>
        </w:rPr>
        <w:t xml:space="preserve">en </w:t>
      </w:r>
      <w:r w:rsidR="00237021">
        <w:rPr>
          <w:rFonts w:ascii="Arial" w:eastAsia="Arial" w:hAnsi="Arial" w:cs="Arial"/>
          <w:b/>
          <w:bCs/>
          <w:color w:val="002C5F"/>
          <w:sz w:val="40"/>
          <w:szCs w:val="40"/>
        </w:rPr>
        <w:t xml:space="preserve">el </w:t>
      </w:r>
      <w:r>
        <w:rPr>
          <w:rFonts w:ascii="Arial" w:eastAsia="Arial" w:hAnsi="Arial" w:cs="Arial"/>
          <w:b/>
          <w:bCs/>
          <w:color w:val="002C5F"/>
          <w:sz w:val="40"/>
          <w:szCs w:val="40"/>
        </w:rPr>
        <w:t>público</w:t>
      </w:r>
      <w:r w:rsidR="00237021">
        <w:rPr>
          <w:rFonts w:ascii="Arial" w:eastAsia="Arial" w:hAnsi="Arial" w:cs="Arial"/>
          <w:b/>
          <w:bCs/>
          <w:color w:val="002C5F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02C5F"/>
          <w:sz w:val="40"/>
          <w:szCs w:val="40"/>
        </w:rPr>
        <w:t>de mayor demanda comercial</w:t>
      </w:r>
    </w:p>
    <w:p w14:paraId="07BD0B7F" w14:textId="77777777" w:rsidR="00DB302E" w:rsidRDefault="00DB302E" w:rsidP="00DB302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5A8FE97" w14:textId="713AC424" w:rsidR="00956291" w:rsidRDefault="00275F78" w:rsidP="00255D29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lk68015472"/>
      <w:r>
        <w:rPr>
          <w:rFonts w:ascii="Arial" w:eastAsia="Arial" w:hAnsi="Arial" w:cs="Arial"/>
          <w:b/>
          <w:sz w:val="24"/>
          <w:szCs w:val="24"/>
        </w:rPr>
        <w:t xml:space="preserve">Con un </w:t>
      </w:r>
      <w:r w:rsidRPr="00D82B74">
        <w:rPr>
          <w:rFonts w:ascii="Arial" w:eastAsia="Arial" w:hAnsi="Arial" w:cs="Arial"/>
          <w:b/>
          <w:sz w:val="24"/>
          <w:szCs w:val="24"/>
        </w:rPr>
        <w:t>28,</w:t>
      </w:r>
      <w:r w:rsidR="00F60E68">
        <w:rPr>
          <w:rFonts w:ascii="Arial" w:eastAsia="Arial" w:hAnsi="Arial" w:cs="Arial"/>
          <w:b/>
          <w:sz w:val="24"/>
          <w:szCs w:val="24"/>
        </w:rPr>
        <w:t>3</w:t>
      </w:r>
      <w:r w:rsidRPr="00D82B74">
        <w:rPr>
          <w:rFonts w:ascii="Arial" w:eastAsia="Arial" w:hAnsi="Arial" w:cs="Arial"/>
          <w:b/>
          <w:sz w:val="24"/>
          <w:szCs w:val="24"/>
        </w:rPr>
        <w:t>%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r w:rsidR="00DB302E">
        <w:rPr>
          <w:rFonts w:ascii="Arial" w:eastAsia="Arial" w:hAnsi="Arial" w:cs="Arial"/>
          <w:b/>
          <w:sz w:val="24"/>
          <w:szCs w:val="24"/>
        </w:rPr>
        <w:t>Mediaset España</w:t>
      </w:r>
      <w:r w:rsidRPr="00D82B74">
        <w:rPr>
          <w:rFonts w:ascii="Arial" w:eastAsia="Arial" w:hAnsi="Arial" w:cs="Arial"/>
          <w:b/>
          <w:sz w:val="24"/>
          <w:szCs w:val="24"/>
        </w:rPr>
        <w:t xml:space="preserve"> supera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313A0E">
        <w:rPr>
          <w:rFonts w:ascii="Arial" w:eastAsia="Arial" w:hAnsi="Arial" w:cs="Arial"/>
          <w:b/>
          <w:sz w:val="24"/>
          <w:szCs w:val="24"/>
        </w:rPr>
        <w:t>en</w:t>
      </w:r>
      <w:r w:rsidRPr="00D82B74">
        <w:rPr>
          <w:rFonts w:ascii="Arial" w:eastAsia="Arial" w:hAnsi="Arial" w:cs="Arial"/>
          <w:b/>
          <w:sz w:val="24"/>
          <w:szCs w:val="24"/>
        </w:rPr>
        <w:t xml:space="preserve"> </w:t>
      </w:r>
      <w:r w:rsidR="00F60E68">
        <w:rPr>
          <w:rFonts w:ascii="Arial" w:eastAsia="Arial" w:hAnsi="Arial" w:cs="Arial"/>
          <w:b/>
          <w:sz w:val="24"/>
          <w:szCs w:val="24"/>
        </w:rPr>
        <w:t>0</w:t>
      </w:r>
      <w:r w:rsidRPr="00D82B74">
        <w:rPr>
          <w:rFonts w:ascii="Arial" w:eastAsia="Arial" w:hAnsi="Arial" w:cs="Arial"/>
          <w:b/>
          <w:sz w:val="24"/>
          <w:szCs w:val="24"/>
        </w:rPr>
        <w:t>,</w:t>
      </w:r>
      <w:r w:rsidR="00F60E68">
        <w:rPr>
          <w:rFonts w:ascii="Arial" w:eastAsia="Arial" w:hAnsi="Arial" w:cs="Arial"/>
          <w:b/>
          <w:sz w:val="24"/>
          <w:szCs w:val="24"/>
        </w:rPr>
        <w:t>7</w:t>
      </w:r>
      <w:r w:rsidRPr="00D82B74">
        <w:rPr>
          <w:rFonts w:ascii="Arial" w:eastAsia="Arial" w:hAnsi="Arial" w:cs="Arial"/>
          <w:b/>
          <w:sz w:val="24"/>
          <w:szCs w:val="24"/>
        </w:rPr>
        <w:t xml:space="preserve"> puntos a</w:t>
      </w:r>
      <w:r>
        <w:rPr>
          <w:rFonts w:ascii="Arial" w:eastAsia="Arial" w:hAnsi="Arial" w:cs="Arial"/>
          <w:b/>
          <w:sz w:val="24"/>
          <w:szCs w:val="24"/>
        </w:rPr>
        <w:t xml:space="preserve"> Atresmedia y </w:t>
      </w:r>
      <w:r w:rsidR="003F3E33">
        <w:rPr>
          <w:rFonts w:ascii="Arial" w:eastAsia="Arial" w:hAnsi="Arial" w:cs="Arial"/>
          <w:b/>
          <w:sz w:val="24"/>
          <w:szCs w:val="24"/>
        </w:rPr>
        <w:t xml:space="preserve">amplía esa distancia a </w:t>
      </w:r>
      <w:r w:rsidR="00F60E68">
        <w:rPr>
          <w:rFonts w:ascii="Arial" w:eastAsia="Arial" w:hAnsi="Arial" w:cs="Arial"/>
          <w:b/>
          <w:sz w:val="24"/>
          <w:szCs w:val="24"/>
        </w:rPr>
        <w:t>3</w:t>
      </w:r>
      <w:r w:rsidRPr="00D82B74">
        <w:rPr>
          <w:rFonts w:ascii="Arial" w:eastAsia="Arial" w:hAnsi="Arial" w:cs="Arial"/>
          <w:b/>
          <w:sz w:val="24"/>
          <w:szCs w:val="24"/>
        </w:rPr>
        <w:t>,</w:t>
      </w:r>
      <w:r w:rsidR="00C07650">
        <w:rPr>
          <w:rFonts w:ascii="Arial" w:eastAsia="Arial" w:hAnsi="Arial" w:cs="Arial"/>
          <w:b/>
          <w:sz w:val="24"/>
          <w:szCs w:val="24"/>
        </w:rPr>
        <w:t>2</w:t>
      </w:r>
      <w:r w:rsidRPr="00D82B74">
        <w:rPr>
          <w:rFonts w:ascii="Arial" w:eastAsia="Arial" w:hAnsi="Arial" w:cs="Arial"/>
          <w:b/>
          <w:sz w:val="24"/>
          <w:szCs w:val="24"/>
        </w:rPr>
        <w:t xml:space="preserve"> puntos en el público más demandado por los anunciantes</w:t>
      </w:r>
      <w:r w:rsidR="00AD4215">
        <w:rPr>
          <w:rFonts w:ascii="Arial" w:eastAsia="Arial" w:hAnsi="Arial" w:cs="Arial"/>
          <w:b/>
          <w:sz w:val="24"/>
          <w:szCs w:val="24"/>
        </w:rPr>
        <w:t xml:space="preserve"> con un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D82B74">
        <w:rPr>
          <w:rFonts w:ascii="Arial" w:eastAsia="Arial" w:hAnsi="Arial" w:cs="Arial"/>
          <w:b/>
          <w:sz w:val="24"/>
          <w:szCs w:val="24"/>
        </w:rPr>
        <w:t>3</w:t>
      </w:r>
      <w:r w:rsidR="00F60E68">
        <w:rPr>
          <w:rFonts w:ascii="Arial" w:eastAsia="Arial" w:hAnsi="Arial" w:cs="Arial"/>
          <w:b/>
          <w:sz w:val="24"/>
          <w:szCs w:val="24"/>
        </w:rPr>
        <w:t>0</w:t>
      </w:r>
      <w:r w:rsidRPr="00D82B74">
        <w:rPr>
          <w:rFonts w:ascii="Arial" w:eastAsia="Arial" w:hAnsi="Arial" w:cs="Arial"/>
          <w:b/>
          <w:sz w:val="24"/>
          <w:szCs w:val="24"/>
        </w:rPr>
        <w:t>,</w:t>
      </w:r>
      <w:r w:rsidR="00F60E68">
        <w:rPr>
          <w:rFonts w:ascii="Arial" w:eastAsia="Arial" w:hAnsi="Arial" w:cs="Arial"/>
          <w:b/>
          <w:sz w:val="24"/>
          <w:szCs w:val="24"/>
        </w:rPr>
        <w:t>7</w:t>
      </w:r>
      <w:r w:rsidRPr="00D82B74">
        <w:rPr>
          <w:rFonts w:ascii="Arial" w:eastAsia="Arial" w:hAnsi="Arial" w:cs="Arial"/>
          <w:b/>
          <w:sz w:val="24"/>
          <w:szCs w:val="24"/>
        </w:rPr>
        <w:t>%</w:t>
      </w:r>
      <w:r w:rsidR="00F60E68">
        <w:rPr>
          <w:rFonts w:ascii="Arial" w:eastAsia="Arial" w:hAnsi="Arial" w:cs="Arial"/>
          <w:b/>
          <w:sz w:val="24"/>
          <w:szCs w:val="24"/>
        </w:rPr>
        <w:t xml:space="preserve"> frente a la bajad</w:t>
      </w:r>
      <w:r w:rsidR="00C07650">
        <w:rPr>
          <w:rFonts w:ascii="Arial" w:eastAsia="Arial" w:hAnsi="Arial" w:cs="Arial"/>
          <w:b/>
          <w:sz w:val="24"/>
          <w:szCs w:val="24"/>
        </w:rPr>
        <w:t>a de su competidor hasta el 27,5</w:t>
      </w:r>
      <w:r w:rsidR="00F60E68">
        <w:rPr>
          <w:rFonts w:ascii="Arial" w:eastAsia="Arial" w:hAnsi="Arial" w:cs="Arial"/>
          <w:b/>
          <w:sz w:val="24"/>
          <w:szCs w:val="24"/>
        </w:rPr>
        <w:t>%</w:t>
      </w:r>
      <w:r w:rsidR="003F3E33">
        <w:rPr>
          <w:rFonts w:ascii="Arial" w:eastAsia="Arial" w:hAnsi="Arial" w:cs="Arial"/>
          <w:b/>
          <w:sz w:val="24"/>
          <w:szCs w:val="24"/>
        </w:rPr>
        <w:t>.</w:t>
      </w:r>
    </w:p>
    <w:p w14:paraId="0815B970" w14:textId="77777777" w:rsidR="00DB302E" w:rsidRPr="003F3E33" w:rsidRDefault="00DB302E" w:rsidP="00DB302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477C11F" w14:textId="6103810C" w:rsidR="00DB302E" w:rsidRDefault="00DB302E" w:rsidP="0023702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3F3E33">
        <w:rPr>
          <w:rFonts w:ascii="Arial" w:eastAsia="Arial" w:hAnsi="Arial" w:cs="Arial"/>
          <w:b/>
          <w:sz w:val="24"/>
          <w:szCs w:val="24"/>
        </w:rPr>
        <w:t>Telecinco</w:t>
      </w:r>
      <w:r w:rsidR="00C07650">
        <w:rPr>
          <w:rFonts w:ascii="Arial" w:eastAsia="Arial" w:hAnsi="Arial" w:cs="Arial"/>
          <w:b/>
          <w:sz w:val="24"/>
          <w:szCs w:val="24"/>
        </w:rPr>
        <w:t xml:space="preserve"> (15,2</w:t>
      </w:r>
      <w:r w:rsidR="00AD4215">
        <w:rPr>
          <w:rFonts w:ascii="Arial" w:eastAsia="Arial" w:hAnsi="Arial" w:cs="Arial"/>
          <w:b/>
          <w:sz w:val="24"/>
          <w:szCs w:val="24"/>
        </w:rPr>
        <w:t>%),</w:t>
      </w:r>
      <w:r w:rsidR="00237021">
        <w:rPr>
          <w:rFonts w:ascii="Arial" w:eastAsia="Arial" w:hAnsi="Arial" w:cs="Arial"/>
          <w:b/>
          <w:sz w:val="24"/>
          <w:szCs w:val="24"/>
        </w:rPr>
        <w:t xml:space="preserve"> 1,</w:t>
      </w:r>
      <w:r w:rsidR="00C07650">
        <w:rPr>
          <w:rFonts w:ascii="Arial" w:eastAsia="Arial" w:hAnsi="Arial" w:cs="Arial"/>
          <w:b/>
          <w:sz w:val="24"/>
          <w:szCs w:val="24"/>
        </w:rPr>
        <w:t>2</w:t>
      </w:r>
      <w:r w:rsidR="00237021">
        <w:rPr>
          <w:rFonts w:ascii="Arial" w:eastAsia="Arial" w:hAnsi="Arial" w:cs="Arial"/>
          <w:b/>
          <w:sz w:val="24"/>
          <w:szCs w:val="24"/>
        </w:rPr>
        <w:t xml:space="preserve"> puntos </w:t>
      </w:r>
      <w:r w:rsidR="00E21800">
        <w:rPr>
          <w:rFonts w:ascii="Arial" w:eastAsia="Arial" w:hAnsi="Arial" w:cs="Arial"/>
          <w:b/>
          <w:sz w:val="24"/>
          <w:szCs w:val="24"/>
        </w:rPr>
        <w:t xml:space="preserve">por delante </w:t>
      </w:r>
      <w:r w:rsidR="00237021">
        <w:rPr>
          <w:rFonts w:ascii="Arial" w:eastAsia="Arial" w:hAnsi="Arial" w:cs="Arial"/>
          <w:b/>
          <w:sz w:val="24"/>
          <w:szCs w:val="24"/>
        </w:rPr>
        <w:t>de Antena 3,</w:t>
      </w:r>
      <w:r w:rsidR="00C07650">
        <w:rPr>
          <w:rFonts w:ascii="Arial" w:eastAsia="Arial" w:hAnsi="Arial" w:cs="Arial"/>
          <w:b/>
          <w:sz w:val="24"/>
          <w:szCs w:val="24"/>
        </w:rPr>
        <w:t xml:space="preserve"> ha abierto una distancia de 3,5</w:t>
      </w:r>
      <w:r w:rsidR="00237021">
        <w:rPr>
          <w:rFonts w:ascii="Arial" w:eastAsia="Arial" w:hAnsi="Arial" w:cs="Arial"/>
          <w:b/>
          <w:sz w:val="24"/>
          <w:szCs w:val="24"/>
        </w:rPr>
        <w:t xml:space="preserve"> puntos entre ambas en el </w:t>
      </w:r>
      <w:r w:rsidR="00237021" w:rsidRPr="00237021">
        <w:rPr>
          <w:rFonts w:ascii="Arial" w:eastAsia="Arial" w:hAnsi="Arial" w:cs="Arial"/>
          <w:b/>
          <w:i/>
          <w:iCs/>
          <w:sz w:val="24"/>
          <w:szCs w:val="24"/>
        </w:rPr>
        <w:t>target</w:t>
      </w:r>
      <w:r w:rsidR="00237021">
        <w:rPr>
          <w:rFonts w:ascii="Arial" w:eastAsia="Arial" w:hAnsi="Arial" w:cs="Arial"/>
          <w:b/>
          <w:sz w:val="24"/>
          <w:szCs w:val="24"/>
        </w:rPr>
        <w:t xml:space="preserve"> comercial, donde crece hasta el 15,</w:t>
      </w:r>
      <w:r w:rsidR="00C07650">
        <w:rPr>
          <w:rFonts w:ascii="Arial" w:eastAsia="Arial" w:hAnsi="Arial" w:cs="Arial"/>
          <w:b/>
          <w:sz w:val="24"/>
          <w:szCs w:val="24"/>
        </w:rPr>
        <w:t>7</w:t>
      </w:r>
      <w:r w:rsidR="00237021">
        <w:rPr>
          <w:rFonts w:ascii="Arial" w:eastAsia="Arial" w:hAnsi="Arial" w:cs="Arial"/>
          <w:b/>
          <w:sz w:val="24"/>
          <w:szCs w:val="24"/>
        </w:rPr>
        <w:t xml:space="preserve">% con su mejor mayo desde 2008, frente al 12,2% de su rival. </w:t>
      </w:r>
    </w:p>
    <w:p w14:paraId="6CD22AEB" w14:textId="55C55DA0" w:rsidR="00AD4215" w:rsidRDefault="00AD4215" w:rsidP="0023702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FA59E77" w14:textId="7D0446F3" w:rsidR="00AD4215" w:rsidRDefault="00AD4215" w:rsidP="0023702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30A4B">
        <w:rPr>
          <w:rFonts w:ascii="Arial" w:eastAsia="Arial" w:hAnsi="Arial" w:cs="Arial"/>
          <w:b/>
          <w:sz w:val="24"/>
          <w:szCs w:val="24"/>
        </w:rPr>
        <w:t xml:space="preserve">Los programas de </w:t>
      </w:r>
      <w:r w:rsidRPr="00630A4B">
        <w:rPr>
          <w:rFonts w:ascii="Arial" w:eastAsia="Arial" w:hAnsi="Arial" w:cs="Arial"/>
          <w:b/>
          <w:i/>
          <w:iCs/>
          <w:sz w:val="24"/>
          <w:szCs w:val="24"/>
        </w:rPr>
        <w:t>prime time</w:t>
      </w:r>
      <w:r w:rsidRPr="00630A4B">
        <w:rPr>
          <w:rFonts w:ascii="Arial" w:eastAsia="Arial" w:hAnsi="Arial" w:cs="Arial"/>
          <w:b/>
          <w:sz w:val="24"/>
          <w:szCs w:val="24"/>
        </w:rPr>
        <w:t xml:space="preserve"> de Telecinco se erigen como los más vistos de la televisión comercial </w:t>
      </w:r>
      <w:r w:rsidR="003266A3" w:rsidRPr="00630A4B">
        <w:rPr>
          <w:rFonts w:ascii="Arial" w:eastAsia="Arial" w:hAnsi="Arial" w:cs="Arial"/>
          <w:b/>
          <w:sz w:val="24"/>
          <w:szCs w:val="24"/>
        </w:rPr>
        <w:t xml:space="preserve">y con los públicos más cualitativos, </w:t>
      </w:r>
      <w:r w:rsidRPr="00630A4B">
        <w:rPr>
          <w:rFonts w:ascii="Arial" w:eastAsia="Arial" w:hAnsi="Arial" w:cs="Arial"/>
          <w:b/>
          <w:sz w:val="24"/>
          <w:szCs w:val="24"/>
        </w:rPr>
        <w:t>sin contar eventos deportivos</w:t>
      </w:r>
    </w:p>
    <w:p w14:paraId="4A989B05" w14:textId="43D42722" w:rsidR="003F3E33" w:rsidRDefault="003F3E33" w:rsidP="003F3E3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76F0ED6" w14:textId="5A98FAE9" w:rsidR="00EA50DF" w:rsidRPr="00DC0356" w:rsidRDefault="00EA50DF" w:rsidP="00A05FA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bookmarkEnd w:id="0"/>
    <w:p w14:paraId="01EB8615" w14:textId="13981681" w:rsidR="00F60E68" w:rsidRDefault="00A05FA0" w:rsidP="00DD4634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Mediaset España </w:t>
      </w:r>
      <w:r w:rsidR="00742582">
        <w:rPr>
          <w:rFonts w:ascii="Arial" w:eastAsia="Arial" w:hAnsi="Arial" w:cs="Arial"/>
          <w:bCs/>
          <w:sz w:val="24"/>
          <w:szCs w:val="24"/>
        </w:rPr>
        <w:t xml:space="preserve">ha sido en mayo el grupo audiovisual líder de audiencia con un 28,3% de </w:t>
      </w:r>
      <w:r w:rsidR="00742582" w:rsidRPr="00E54B4D">
        <w:rPr>
          <w:rFonts w:ascii="Arial" w:eastAsia="Arial" w:hAnsi="Arial" w:cs="Arial"/>
          <w:bCs/>
          <w:i/>
          <w:iCs/>
          <w:sz w:val="24"/>
          <w:szCs w:val="24"/>
        </w:rPr>
        <w:t>share</w:t>
      </w:r>
      <w:r w:rsidR="00742582">
        <w:rPr>
          <w:rFonts w:ascii="Arial" w:eastAsia="Arial" w:hAnsi="Arial" w:cs="Arial"/>
          <w:bCs/>
          <w:sz w:val="24"/>
          <w:szCs w:val="24"/>
        </w:rPr>
        <w:t xml:space="preserve"> por delante de Atresmedia del que se ha distanciado 3,</w:t>
      </w:r>
      <w:r w:rsidR="001B6234">
        <w:rPr>
          <w:rFonts w:ascii="Arial" w:eastAsia="Arial" w:hAnsi="Arial" w:cs="Arial"/>
          <w:bCs/>
          <w:sz w:val="24"/>
          <w:szCs w:val="24"/>
        </w:rPr>
        <w:t>2</w:t>
      </w:r>
      <w:r w:rsidR="00742582">
        <w:rPr>
          <w:rFonts w:ascii="Arial" w:eastAsia="Arial" w:hAnsi="Arial" w:cs="Arial"/>
          <w:bCs/>
          <w:sz w:val="24"/>
          <w:szCs w:val="24"/>
        </w:rPr>
        <w:t xml:space="preserve"> puntos en el público de mayor demanda comercial tras mejorar sus cifras hasta el 30,7% en </w:t>
      </w:r>
      <w:r w:rsidR="00742582" w:rsidRPr="00742582">
        <w:rPr>
          <w:rFonts w:ascii="Arial" w:eastAsia="Arial" w:hAnsi="Arial" w:cs="Arial"/>
          <w:bCs/>
          <w:i/>
          <w:iCs/>
          <w:sz w:val="24"/>
          <w:szCs w:val="24"/>
        </w:rPr>
        <w:t>target</w:t>
      </w:r>
      <w:r w:rsidR="00742582">
        <w:rPr>
          <w:rFonts w:ascii="Arial" w:eastAsia="Arial" w:hAnsi="Arial" w:cs="Arial"/>
          <w:bCs/>
          <w:sz w:val="24"/>
          <w:szCs w:val="24"/>
        </w:rPr>
        <w:t xml:space="preserve"> comercial, frente al descenso de su inmediato competidor en dicho parámetro.</w:t>
      </w:r>
    </w:p>
    <w:p w14:paraId="5DFB90DF" w14:textId="16F1A1D1" w:rsidR="00742582" w:rsidRDefault="00742582" w:rsidP="00DD4634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276FA6F0" w14:textId="06B44728" w:rsidR="00742582" w:rsidRDefault="00DB3AB3" w:rsidP="00DD4634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El grupo </w:t>
      </w:r>
      <w:r w:rsidR="00742582">
        <w:rPr>
          <w:rFonts w:ascii="Arial" w:eastAsia="Arial" w:hAnsi="Arial" w:cs="Arial"/>
          <w:bCs/>
          <w:sz w:val="24"/>
          <w:szCs w:val="24"/>
        </w:rPr>
        <w:t>se erige de nuevo como la referencia absoluta en los públicos más atractivos y dinámicos gracias a la sólida conexión de su oferta con los espectadores más jóvenes, especialmente los de 13 a 24 años, entre los que cosecha un 34,</w:t>
      </w:r>
      <w:r w:rsidR="001B6234">
        <w:rPr>
          <w:rFonts w:ascii="Arial" w:eastAsia="Arial" w:hAnsi="Arial" w:cs="Arial"/>
          <w:bCs/>
          <w:sz w:val="24"/>
          <w:szCs w:val="24"/>
        </w:rPr>
        <w:t>5</w:t>
      </w:r>
      <w:r w:rsidR="00742582">
        <w:rPr>
          <w:rFonts w:ascii="Arial" w:eastAsia="Arial" w:hAnsi="Arial" w:cs="Arial"/>
          <w:bCs/>
          <w:sz w:val="24"/>
          <w:szCs w:val="24"/>
        </w:rPr>
        <w:t xml:space="preserve">% de </w:t>
      </w:r>
      <w:r w:rsidR="00742582" w:rsidRPr="00E54B4D">
        <w:rPr>
          <w:rFonts w:ascii="Arial" w:eastAsia="Arial" w:hAnsi="Arial" w:cs="Arial"/>
          <w:bCs/>
          <w:i/>
          <w:iCs/>
          <w:sz w:val="24"/>
          <w:szCs w:val="24"/>
        </w:rPr>
        <w:t>share</w:t>
      </w:r>
      <w:r w:rsidR="00742582">
        <w:rPr>
          <w:rFonts w:ascii="Arial" w:eastAsia="Arial" w:hAnsi="Arial" w:cs="Arial"/>
          <w:bCs/>
          <w:sz w:val="24"/>
          <w:szCs w:val="24"/>
        </w:rPr>
        <w:t xml:space="preserve"> y los de 25 a 34, con un 31,</w:t>
      </w:r>
      <w:r w:rsidR="001B6234">
        <w:rPr>
          <w:rFonts w:ascii="Arial" w:eastAsia="Arial" w:hAnsi="Arial" w:cs="Arial"/>
          <w:bCs/>
          <w:sz w:val="24"/>
          <w:szCs w:val="24"/>
        </w:rPr>
        <w:t>5</w:t>
      </w:r>
      <w:r w:rsidR="00742582">
        <w:rPr>
          <w:rFonts w:ascii="Arial" w:eastAsia="Arial" w:hAnsi="Arial" w:cs="Arial"/>
          <w:bCs/>
          <w:sz w:val="24"/>
          <w:szCs w:val="24"/>
        </w:rPr>
        <w:t>%, a gran distancia de Atresmedia</w:t>
      </w:r>
      <w:r w:rsidR="00CB2F78">
        <w:rPr>
          <w:rFonts w:ascii="Arial" w:eastAsia="Arial" w:hAnsi="Arial" w:cs="Arial"/>
          <w:bCs/>
          <w:sz w:val="24"/>
          <w:szCs w:val="24"/>
        </w:rPr>
        <w:t>.</w:t>
      </w:r>
    </w:p>
    <w:p w14:paraId="3F64110F" w14:textId="77777777" w:rsidR="00742582" w:rsidRDefault="00742582" w:rsidP="00DD463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96E6316" w14:textId="0D464258" w:rsidR="00DB3AB3" w:rsidRDefault="00742582" w:rsidP="00D82B74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Mediaset España</w:t>
      </w:r>
      <w:r w:rsidR="00D82B74">
        <w:rPr>
          <w:rFonts w:ascii="Arial" w:eastAsia="Arial" w:hAnsi="Arial" w:cs="Arial"/>
          <w:sz w:val="24"/>
          <w:szCs w:val="24"/>
        </w:rPr>
        <w:t xml:space="preserve"> ha obtenido un </w:t>
      </w:r>
      <w:r w:rsidR="00D82B74" w:rsidRPr="00D82B74">
        <w:rPr>
          <w:rFonts w:ascii="Arial" w:eastAsia="Arial" w:hAnsi="Arial" w:cs="Arial"/>
          <w:b/>
          <w:bCs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5</w:t>
      </w:r>
      <w:r w:rsidR="00D82B74" w:rsidRPr="00D82B74"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z w:val="24"/>
          <w:szCs w:val="24"/>
        </w:rPr>
        <w:t>3</w:t>
      </w:r>
      <w:r w:rsidR="00D82B74" w:rsidRPr="00D82B74">
        <w:rPr>
          <w:rFonts w:ascii="Arial" w:eastAsia="Arial" w:hAnsi="Arial" w:cs="Arial"/>
          <w:b/>
          <w:bCs/>
          <w:sz w:val="24"/>
          <w:szCs w:val="24"/>
        </w:rPr>
        <w:t xml:space="preserve">% en </w:t>
      </w:r>
      <w:r w:rsidR="00D82B74" w:rsidRPr="00D82B74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prime </w:t>
      </w:r>
      <w:r w:rsidR="00D82B74" w:rsidRPr="00742582">
        <w:rPr>
          <w:rFonts w:ascii="Arial" w:eastAsia="Arial" w:hAnsi="Arial" w:cs="Arial"/>
          <w:i/>
          <w:iCs/>
          <w:sz w:val="24"/>
          <w:szCs w:val="24"/>
        </w:rPr>
        <w:t>time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con una conversión positiva a </w:t>
      </w:r>
      <w:r w:rsidRPr="00E54B4D">
        <w:rPr>
          <w:rFonts w:ascii="Arial" w:eastAsia="Arial" w:hAnsi="Arial" w:cs="Arial"/>
          <w:i/>
          <w:iCs/>
          <w:sz w:val="24"/>
          <w:szCs w:val="24"/>
        </w:rPr>
        <w:t>target</w:t>
      </w:r>
      <w:r w:rsidR="001B6234">
        <w:rPr>
          <w:rFonts w:ascii="Arial" w:eastAsia="Arial" w:hAnsi="Arial" w:cs="Arial"/>
          <w:sz w:val="24"/>
          <w:szCs w:val="24"/>
        </w:rPr>
        <w:t xml:space="preserve"> comercial del 28,2</w:t>
      </w:r>
      <w:r>
        <w:rPr>
          <w:rFonts w:ascii="Arial" w:eastAsia="Arial" w:hAnsi="Arial" w:cs="Arial"/>
          <w:sz w:val="24"/>
          <w:szCs w:val="24"/>
        </w:rPr>
        <w:t>%</w:t>
      </w:r>
      <w:r w:rsidR="00E21800">
        <w:rPr>
          <w:rFonts w:ascii="Arial" w:eastAsia="Arial" w:hAnsi="Arial" w:cs="Arial"/>
          <w:sz w:val="24"/>
          <w:szCs w:val="24"/>
        </w:rPr>
        <w:t xml:space="preserve"> de cuota</w:t>
      </w:r>
      <w:r w:rsidR="001B6234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EA19EB0" w14:textId="5765CFC0" w:rsidR="00830B02" w:rsidRDefault="00830B02" w:rsidP="00D82B74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327B7AF3" w14:textId="64A4C268" w:rsidR="00472A9B" w:rsidRDefault="00D82B74" w:rsidP="00DD4634">
      <w:pPr>
        <w:spacing w:after="0" w:line="240" w:lineRule="auto"/>
        <w:jc w:val="both"/>
        <w:rPr>
          <w:rFonts w:ascii="Arial" w:eastAsia="Arial" w:hAnsi="Arial" w:cs="Arial"/>
          <w:b/>
          <w:color w:val="1F4E79" w:themeColor="accent5" w:themeShade="80"/>
          <w:sz w:val="28"/>
          <w:szCs w:val="28"/>
        </w:rPr>
      </w:pPr>
      <w:r w:rsidRPr="00D82B74">
        <w:rPr>
          <w:rFonts w:ascii="Arial" w:eastAsia="Arial" w:hAnsi="Arial" w:cs="Arial"/>
          <w:b/>
          <w:color w:val="1F4E79" w:themeColor="accent5" w:themeShade="80"/>
          <w:sz w:val="28"/>
          <w:szCs w:val="28"/>
        </w:rPr>
        <w:t xml:space="preserve">Telecinco, </w:t>
      </w:r>
      <w:r w:rsidR="00AB25C9">
        <w:rPr>
          <w:rFonts w:ascii="Arial" w:eastAsia="Arial" w:hAnsi="Arial" w:cs="Arial"/>
          <w:b/>
          <w:color w:val="1F4E79" w:themeColor="accent5" w:themeShade="80"/>
          <w:sz w:val="28"/>
          <w:szCs w:val="28"/>
        </w:rPr>
        <w:t xml:space="preserve">líder y con el mejor perfil </w:t>
      </w:r>
    </w:p>
    <w:p w14:paraId="6C45F932" w14:textId="77777777" w:rsidR="004533D7" w:rsidRDefault="004533D7" w:rsidP="00DD4634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6168435D" w14:textId="65CA5FAF" w:rsidR="00AB25C9" w:rsidRDefault="00AB25C9" w:rsidP="00DD4634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Mayo ha vuelto a concluir con el liderazgo de audiencia de Telecinco ta</w:t>
      </w:r>
      <w:r w:rsidR="00C8322D">
        <w:rPr>
          <w:rFonts w:ascii="Arial" w:eastAsia="Arial" w:hAnsi="Arial" w:cs="Arial"/>
          <w:bCs/>
          <w:sz w:val="24"/>
          <w:szCs w:val="24"/>
        </w:rPr>
        <w:t>nto en el total día, con un 15,2%, 1,2</w:t>
      </w:r>
      <w:r>
        <w:rPr>
          <w:rFonts w:ascii="Arial" w:eastAsia="Arial" w:hAnsi="Arial" w:cs="Arial"/>
          <w:bCs/>
          <w:sz w:val="24"/>
          <w:szCs w:val="24"/>
        </w:rPr>
        <w:t xml:space="preserve"> puntos </w:t>
      </w:r>
      <w:r w:rsidR="00E21800">
        <w:rPr>
          <w:rFonts w:ascii="Arial" w:eastAsia="Arial" w:hAnsi="Arial" w:cs="Arial"/>
          <w:bCs/>
          <w:sz w:val="24"/>
          <w:szCs w:val="24"/>
        </w:rPr>
        <w:t xml:space="preserve">por delante </w:t>
      </w:r>
      <w:r>
        <w:rPr>
          <w:rFonts w:ascii="Arial" w:eastAsia="Arial" w:hAnsi="Arial" w:cs="Arial"/>
          <w:bCs/>
          <w:sz w:val="24"/>
          <w:szCs w:val="24"/>
        </w:rPr>
        <w:t xml:space="preserve">de su rival, como en el público más demandado por los anunciantes, objetivo fundamental de </w:t>
      </w:r>
      <w:r w:rsidR="00E21800">
        <w:rPr>
          <w:rFonts w:ascii="Arial" w:eastAsia="Arial" w:hAnsi="Arial" w:cs="Arial"/>
          <w:bCs/>
          <w:sz w:val="24"/>
          <w:szCs w:val="24"/>
        </w:rPr>
        <w:t xml:space="preserve">la </w:t>
      </w:r>
      <w:r>
        <w:rPr>
          <w:rFonts w:ascii="Arial" w:eastAsia="Arial" w:hAnsi="Arial" w:cs="Arial"/>
          <w:bCs/>
          <w:sz w:val="24"/>
          <w:szCs w:val="24"/>
        </w:rPr>
        <w:t>televisión comercial</w:t>
      </w:r>
      <w:r w:rsidR="004F110B">
        <w:rPr>
          <w:rFonts w:ascii="Arial" w:eastAsia="Arial" w:hAnsi="Arial" w:cs="Arial"/>
          <w:bCs/>
          <w:sz w:val="24"/>
          <w:szCs w:val="24"/>
        </w:rPr>
        <w:t>, en el que ha obtenido su mejor mayo desde 2008 con un 15,</w:t>
      </w:r>
      <w:r w:rsidR="00C8322D">
        <w:rPr>
          <w:rFonts w:ascii="Arial" w:eastAsia="Arial" w:hAnsi="Arial" w:cs="Arial"/>
          <w:bCs/>
          <w:sz w:val="24"/>
          <w:szCs w:val="24"/>
        </w:rPr>
        <w:t>7</w:t>
      </w:r>
      <w:r w:rsidR="004F110B">
        <w:rPr>
          <w:rFonts w:ascii="Arial" w:eastAsia="Arial" w:hAnsi="Arial" w:cs="Arial"/>
          <w:bCs/>
          <w:sz w:val="24"/>
          <w:szCs w:val="24"/>
        </w:rPr>
        <w:t>%</w:t>
      </w:r>
      <w:r w:rsidR="00CB2F78">
        <w:rPr>
          <w:rFonts w:ascii="Arial" w:eastAsia="Arial" w:hAnsi="Arial" w:cs="Arial"/>
          <w:bCs/>
          <w:sz w:val="24"/>
          <w:szCs w:val="24"/>
        </w:rPr>
        <w:t>.</w:t>
      </w:r>
    </w:p>
    <w:p w14:paraId="61599127" w14:textId="77777777" w:rsidR="00AB25C9" w:rsidRDefault="00AB25C9" w:rsidP="00DD4634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2BBB992E" w14:textId="463E20E1" w:rsidR="00E44198" w:rsidRDefault="004F110B" w:rsidP="00E44198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lastRenderedPageBreak/>
        <w:t xml:space="preserve">La excelente conversión a </w:t>
      </w:r>
      <w:r w:rsidRPr="004F110B">
        <w:rPr>
          <w:rFonts w:ascii="Arial" w:eastAsia="Arial" w:hAnsi="Arial" w:cs="Arial"/>
          <w:bCs/>
          <w:i/>
          <w:iCs/>
          <w:sz w:val="24"/>
          <w:szCs w:val="24"/>
        </w:rPr>
        <w:t>target</w:t>
      </w:r>
      <w:r>
        <w:rPr>
          <w:rFonts w:ascii="Arial" w:eastAsia="Arial" w:hAnsi="Arial" w:cs="Arial"/>
          <w:bCs/>
          <w:sz w:val="24"/>
          <w:szCs w:val="24"/>
        </w:rPr>
        <w:t xml:space="preserve"> comercial de Telecinco ha sido una constante a lo largo de todas las franjas del día: desde el </w:t>
      </w:r>
      <w:proofErr w:type="spellStart"/>
      <w:r w:rsidRPr="004F110B">
        <w:rPr>
          <w:rFonts w:ascii="Arial" w:eastAsia="Arial" w:hAnsi="Arial" w:cs="Arial"/>
          <w:b/>
          <w:i/>
          <w:iCs/>
          <w:sz w:val="24"/>
          <w:szCs w:val="24"/>
        </w:rPr>
        <w:t>day</w:t>
      </w:r>
      <w:proofErr w:type="spellEnd"/>
      <w:r w:rsidRPr="004F110B">
        <w:rPr>
          <w:rFonts w:ascii="Arial" w:eastAsia="Arial" w:hAnsi="Arial" w:cs="Arial"/>
          <w:b/>
          <w:i/>
          <w:iCs/>
          <w:sz w:val="24"/>
          <w:szCs w:val="24"/>
        </w:rPr>
        <w:t xml:space="preserve"> time</w:t>
      </w:r>
      <w:r w:rsidR="00101ABF">
        <w:rPr>
          <w:rFonts w:ascii="Arial" w:eastAsia="Arial" w:hAnsi="Arial" w:cs="Arial"/>
          <w:b/>
          <w:sz w:val="24"/>
          <w:szCs w:val="24"/>
        </w:rPr>
        <w:t>, con un 16,1% en total individuos y un 16,3</w:t>
      </w:r>
      <w:r w:rsidRPr="004F110B">
        <w:rPr>
          <w:rFonts w:ascii="Arial" w:eastAsia="Arial" w:hAnsi="Arial" w:cs="Arial"/>
          <w:b/>
          <w:sz w:val="24"/>
          <w:szCs w:val="24"/>
        </w:rPr>
        <w:t>% en este segmento</w:t>
      </w:r>
      <w:r w:rsidR="00101ABF">
        <w:rPr>
          <w:rFonts w:ascii="Arial" w:eastAsia="Arial" w:hAnsi="Arial" w:cs="Arial"/>
          <w:bCs/>
          <w:sz w:val="24"/>
          <w:szCs w:val="24"/>
        </w:rPr>
        <w:t xml:space="preserve"> -frente a un 12,8% en total individuos</w:t>
      </w:r>
      <w:r>
        <w:rPr>
          <w:rFonts w:ascii="Arial" w:eastAsia="Arial" w:hAnsi="Arial" w:cs="Arial"/>
          <w:bCs/>
          <w:sz w:val="24"/>
          <w:szCs w:val="24"/>
        </w:rPr>
        <w:t xml:space="preserve"> y un descenso hasta el 11% en target comercial de Antena 3- hasta el </w:t>
      </w:r>
      <w:r w:rsidRPr="004F110B">
        <w:rPr>
          <w:rFonts w:ascii="Arial" w:eastAsia="Arial" w:hAnsi="Arial" w:cs="Arial"/>
          <w:b/>
          <w:i/>
          <w:iCs/>
          <w:sz w:val="24"/>
          <w:szCs w:val="24"/>
        </w:rPr>
        <w:t>prime time</w:t>
      </w:r>
      <w:r>
        <w:rPr>
          <w:rFonts w:ascii="Arial" w:eastAsia="Arial" w:hAnsi="Arial" w:cs="Arial"/>
          <w:bCs/>
          <w:sz w:val="24"/>
          <w:szCs w:val="24"/>
        </w:rPr>
        <w:t xml:space="preserve">, en el que Telecinco ha alcanzado un </w:t>
      </w:r>
      <w:r w:rsidRPr="004F110B">
        <w:rPr>
          <w:rFonts w:ascii="Arial" w:eastAsia="Arial" w:hAnsi="Arial" w:cs="Arial"/>
          <w:b/>
          <w:sz w:val="24"/>
          <w:szCs w:val="24"/>
        </w:rPr>
        <w:t>13,</w:t>
      </w:r>
      <w:r w:rsidR="00630A4B">
        <w:rPr>
          <w:rFonts w:ascii="Arial" w:eastAsia="Arial" w:hAnsi="Arial" w:cs="Arial"/>
          <w:b/>
          <w:sz w:val="24"/>
          <w:szCs w:val="24"/>
        </w:rPr>
        <w:t>3</w:t>
      </w:r>
      <w:r w:rsidRPr="004F110B">
        <w:rPr>
          <w:rFonts w:ascii="Arial" w:eastAsia="Arial" w:hAnsi="Arial" w:cs="Arial"/>
          <w:b/>
          <w:sz w:val="24"/>
          <w:szCs w:val="24"/>
        </w:rPr>
        <w:t>% en su dato g</w:t>
      </w:r>
      <w:r w:rsidR="00630A4B">
        <w:rPr>
          <w:rFonts w:ascii="Arial" w:eastAsia="Arial" w:hAnsi="Arial" w:cs="Arial"/>
          <w:b/>
          <w:sz w:val="24"/>
          <w:szCs w:val="24"/>
        </w:rPr>
        <w:t>lobal y ha crecido hasta el 14,4</w:t>
      </w:r>
      <w:r w:rsidRPr="004F110B">
        <w:rPr>
          <w:rFonts w:ascii="Arial" w:eastAsia="Arial" w:hAnsi="Arial" w:cs="Arial"/>
          <w:b/>
          <w:sz w:val="24"/>
          <w:szCs w:val="24"/>
        </w:rPr>
        <w:t xml:space="preserve">% en </w:t>
      </w:r>
      <w:r w:rsidRPr="004F110B">
        <w:rPr>
          <w:rFonts w:ascii="Arial" w:eastAsia="Arial" w:hAnsi="Arial" w:cs="Arial"/>
          <w:b/>
          <w:i/>
          <w:iCs/>
          <w:sz w:val="24"/>
          <w:szCs w:val="24"/>
        </w:rPr>
        <w:t>target</w:t>
      </w:r>
      <w:r w:rsidRPr="004F110B">
        <w:rPr>
          <w:rFonts w:ascii="Arial" w:eastAsia="Arial" w:hAnsi="Arial" w:cs="Arial"/>
          <w:b/>
          <w:sz w:val="24"/>
          <w:szCs w:val="24"/>
        </w:rPr>
        <w:t xml:space="preserve"> comercial</w:t>
      </w:r>
      <w:r w:rsidR="00630A4B">
        <w:rPr>
          <w:rFonts w:ascii="Arial" w:eastAsia="Arial" w:hAnsi="Arial" w:cs="Arial"/>
          <w:b/>
          <w:sz w:val="24"/>
          <w:szCs w:val="24"/>
        </w:rPr>
        <w:t>.</w:t>
      </w:r>
    </w:p>
    <w:p w14:paraId="7DD76F0C" w14:textId="77777777" w:rsidR="00F371A3" w:rsidRDefault="00F371A3" w:rsidP="00F371A3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7E5889ED" w14:textId="71F32F12" w:rsidR="002E62BD" w:rsidRPr="002E62BD" w:rsidRDefault="00F371A3" w:rsidP="002E62BD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Detrás de esta</w:t>
      </w:r>
      <w:r w:rsidR="002E62BD">
        <w:rPr>
          <w:rFonts w:ascii="Arial" w:eastAsia="Arial" w:hAnsi="Arial" w:cs="Arial"/>
          <w:bCs/>
          <w:sz w:val="24"/>
          <w:szCs w:val="24"/>
        </w:rPr>
        <w:t xml:space="preserve"> victoria se encuentra la </w:t>
      </w:r>
      <w:r w:rsidR="004F110B">
        <w:rPr>
          <w:rFonts w:ascii="Arial" w:eastAsia="Arial" w:hAnsi="Arial" w:cs="Arial"/>
          <w:bCs/>
          <w:sz w:val="24"/>
          <w:szCs w:val="24"/>
        </w:rPr>
        <w:t xml:space="preserve">gran conexión de Telecinco con los </w:t>
      </w:r>
      <w:r w:rsidR="002E62BD">
        <w:rPr>
          <w:rFonts w:ascii="Arial" w:eastAsia="Arial" w:hAnsi="Arial" w:cs="Arial"/>
          <w:bCs/>
          <w:sz w:val="24"/>
          <w:szCs w:val="24"/>
        </w:rPr>
        <w:t>jóvenes, entre los que Telecinco lidera con abultad</w:t>
      </w:r>
      <w:r w:rsidR="00CB2F78">
        <w:rPr>
          <w:rFonts w:ascii="Arial" w:eastAsia="Arial" w:hAnsi="Arial" w:cs="Arial"/>
          <w:bCs/>
          <w:sz w:val="24"/>
          <w:szCs w:val="24"/>
        </w:rPr>
        <w:t>a</w:t>
      </w:r>
      <w:r w:rsidR="002E62BD">
        <w:rPr>
          <w:rFonts w:ascii="Arial" w:eastAsia="Arial" w:hAnsi="Arial" w:cs="Arial"/>
          <w:bCs/>
          <w:sz w:val="24"/>
          <w:szCs w:val="24"/>
        </w:rPr>
        <w:t xml:space="preserve"> ventaja sobre Antena 3 </w:t>
      </w:r>
      <w:r w:rsidR="00CB2F78">
        <w:rPr>
          <w:rFonts w:ascii="Arial" w:eastAsia="Arial" w:hAnsi="Arial" w:cs="Arial"/>
          <w:bCs/>
          <w:sz w:val="24"/>
          <w:szCs w:val="24"/>
        </w:rPr>
        <w:t xml:space="preserve">en el público </w:t>
      </w:r>
      <w:r w:rsidR="00CB2F78" w:rsidRPr="00630A4B">
        <w:rPr>
          <w:rFonts w:ascii="Arial" w:eastAsia="Arial" w:hAnsi="Arial" w:cs="Arial"/>
          <w:bCs/>
          <w:sz w:val="24"/>
          <w:szCs w:val="24"/>
        </w:rPr>
        <w:t>de</w:t>
      </w:r>
      <w:r w:rsidR="00674DA3" w:rsidRPr="00630A4B">
        <w:rPr>
          <w:rFonts w:ascii="Arial" w:eastAsia="Arial" w:hAnsi="Arial" w:cs="Arial"/>
          <w:b/>
          <w:bCs/>
          <w:sz w:val="24"/>
          <w:szCs w:val="24"/>
        </w:rPr>
        <w:t xml:space="preserve"> 13 a 54 </w:t>
      </w:r>
      <w:r w:rsidR="00CB2F78" w:rsidRPr="00630A4B">
        <w:rPr>
          <w:rFonts w:ascii="Arial" w:eastAsia="Arial" w:hAnsi="Arial" w:cs="Arial"/>
          <w:b/>
          <w:bCs/>
          <w:sz w:val="24"/>
          <w:szCs w:val="24"/>
        </w:rPr>
        <w:t>años (</w:t>
      </w:r>
      <w:r w:rsidR="00630A4B" w:rsidRPr="00630A4B">
        <w:rPr>
          <w:rFonts w:ascii="Arial" w:eastAsia="Arial" w:hAnsi="Arial" w:cs="Arial"/>
          <w:b/>
          <w:bCs/>
          <w:sz w:val="24"/>
          <w:szCs w:val="24"/>
        </w:rPr>
        <w:t>15,8</w:t>
      </w:r>
      <w:r w:rsidR="00630A4B">
        <w:rPr>
          <w:rFonts w:ascii="Arial" w:eastAsia="Arial" w:hAnsi="Arial" w:cs="Arial"/>
          <w:b/>
          <w:bCs/>
          <w:sz w:val="24"/>
          <w:szCs w:val="24"/>
        </w:rPr>
        <w:t>% vs. 11,6%).</w:t>
      </w:r>
    </w:p>
    <w:p w14:paraId="61CCB580" w14:textId="055BD4A8" w:rsidR="002E62BD" w:rsidRDefault="002E62BD" w:rsidP="00F371A3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230A572E" w14:textId="77777777" w:rsidR="00AF6DB7" w:rsidRDefault="00AF6DB7" w:rsidP="00AF6DB7">
      <w:pPr>
        <w:spacing w:after="0" w:line="240" w:lineRule="auto"/>
        <w:jc w:val="both"/>
        <w:rPr>
          <w:rFonts w:ascii="Arial" w:eastAsia="Arial" w:hAnsi="Arial" w:cs="Arial"/>
          <w:b/>
          <w:bCs/>
          <w:color w:val="1F4E79" w:themeColor="accent5" w:themeShade="80"/>
          <w:sz w:val="28"/>
          <w:szCs w:val="28"/>
        </w:rPr>
      </w:pPr>
      <w:r>
        <w:rPr>
          <w:rFonts w:ascii="Arial" w:eastAsia="Arial" w:hAnsi="Arial" w:cs="Arial"/>
          <w:b/>
          <w:bCs/>
          <w:color w:val="1F4E79" w:themeColor="accent5" w:themeShade="80"/>
          <w:sz w:val="28"/>
          <w:szCs w:val="28"/>
        </w:rPr>
        <w:t>Victoria</w:t>
      </w:r>
      <w:r w:rsidRPr="00803C1E">
        <w:rPr>
          <w:rFonts w:ascii="Arial" w:eastAsia="Arial" w:hAnsi="Arial" w:cs="Arial"/>
          <w:b/>
          <w:bCs/>
          <w:color w:val="1F4E79" w:themeColor="accent5" w:themeShade="80"/>
          <w:sz w:val="28"/>
          <w:szCs w:val="28"/>
        </w:rPr>
        <w:t xml:space="preserve"> cinco noches a la semana</w:t>
      </w:r>
      <w:r>
        <w:rPr>
          <w:rFonts w:ascii="Arial" w:eastAsia="Arial" w:hAnsi="Arial" w:cs="Arial"/>
          <w:b/>
          <w:bCs/>
          <w:color w:val="1F4E79" w:themeColor="accent5" w:themeShade="80"/>
          <w:sz w:val="28"/>
          <w:szCs w:val="28"/>
        </w:rPr>
        <w:t xml:space="preserve"> con sus programas de </w:t>
      </w:r>
      <w:r w:rsidRPr="00B11A6F">
        <w:rPr>
          <w:rFonts w:ascii="Arial" w:eastAsia="Arial" w:hAnsi="Arial" w:cs="Arial"/>
          <w:b/>
          <w:bCs/>
          <w:i/>
          <w:iCs/>
          <w:color w:val="1F4E79" w:themeColor="accent5" w:themeShade="80"/>
          <w:sz w:val="28"/>
          <w:szCs w:val="28"/>
        </w:rPr>
        <w:t>prime time</w:t>
      </w:r>
      <w:r>
        <w:rPr>
          <w:rFonts w:ascii="Arial" w:eastAsia="Arial" w:hAnsi="Arial" w:cs="Arial"/>
          <w:b/>
          <w:bCs/>
          <w:color w:val="1F4E79" w:themeColor="accent5" w:themeShade="80"/>
          <w:sz w:val="28"/>
          <w:szCs w:val="28"/>
        </w:rPr>
        <w:t xml:space="preserve"> con el mejor perfil comercial de la televisión</w:t>
      </w:r>
    </w:p>
    <w:p w14:paraId="3BCE169B" w14:textId="77777777" w:rsidR="004533D7" w:rsidRDefault="004533D7" w:rsidP="00AF6DB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EBF33EF" w14:textId="77777777" w:rsidR="00AF6DB7" w:rsidRPr="00AF6DB7" w:rsidRDefault="00AF6DB7" w:rsidP="00AF6DB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F6DB7">
        <w:rPr>
          <w:rFonts w:ascii="Arial" w:eastAsia="Arial" w:hAnsi="Arial" w:cs="Arial"/>
          <w:sz w:val="24"/>
          <w:szCs w:val="24"/>
        </w:rPr>
        <w:t xml:space="preserve">En la franja de máximo consumo, Telecinco ha liderado </w:t>
      </w:r>
      <w:r w:rsidRPr="00AF6DB7">
        <w:rPr>
          <w:rFonts w:ascii="Arial" w:eastAsia="Arial" w:hAnsi="Arial" w:cs="Arial"/>
          <w:b/>
          <w:bCs/>
          <w:sz w:val="24"/>
          <w:szCs w:val="24"/>
        </w:rPr>
        <w:t>cinco de las siete noches</w:t>
      </w:r>
      <w:r w:rsidRPr="00AF6DB7">
        <w:rPr>
          <w:rFonts w:ascii="Arial" w:eastAsia="Arial" w:hAnsi="Arial" w:cs="Arial"/>
          <w:sz w:val="24"/>
          <w:szCs w:val="24"/>
        </w:rPr>
        <w:t xml:space="preserve"> semanales con las galas de los jueves de </w:t>
      </w:r>
      <w:r w:rsidRPr="00AF6DB7">
        <w:rPr>
          <w:rFonts w:ascii="Arial" w:eastAsia="Arial" w:hAnsi="Arial" w:cs="Arial"/>
          <w:b/>
          <w:bCs/>
          <w:sz w:val="24"/>
          <w:szCs w:val="24"/>
        </w:rPr>
        <w:t>‘Supervivientes’ (26,2% y 2,4M) y ‘Rocío, contar la verdad para seguir viva’ (25,3% y 2M)</w:t>
      </w:r>
      <w:r w:rsidRPr="00AF6DB7">
        <w:rPr>
          <w:rFonts w:ascii="Arial" w:eastAsia="Arial" w:hAnsi="Arial" w:cs="Arial"/>
          <w:sz w:val="24"/>
          <w:szCs w:val="24"/>
        </w:rPr>
        <w:t xml:space="preserve"> como los productos de </w:t>
      </w:r>
      <w:r w:rsidRPr="00AF6DB7">
        <w:rPr>
          <w:rFonts w:ascii="Arial" w:eastAsia="Arial" w:hAnsi="Arial" w:cs="Arial"/>
          <w:i/>
          <w:iCs/>
          <w:sz w:val="24"/>
          <w:szCs w:val="24"/>
        </w:rPr>
        <w:t>prime time</w:t>
      </w:r>
      <w:r w:rsidRPr="00AF6DB7">
        <w:rPr>
          <w:rFonts w:ascii="Arial" w:eastAsia="Arial" w:hAnsi="Arial" w:cs="Arial"/>
          <w:sz w:val="24"/>
          <w:szCs w:val="24"/>
        </w:rPr>
        <w:t xml:space="preserve"> más vistos de la televisión comercial sin contar eventos deportivos. Ambas ofertas han sido además los productos con mejor </w:t>
      </w:r>
      <w:r w:rsidRPr="00AF6DB7">
        <w:rPr>
          <w:rFonts w:ascii="Arial" w:eastAsia="Arial" w:hAnsi="Arial" w:cs="Arial"/>
          <w:i/>
          <w:iCs/>
          <w:sz w:val="24"/>
          <w:szCs w:val="24"/>
        </w:rPr>
        <w:t>target</w:t>
      </w:r>
      <w:r w:rsidRPr="00AF6DB7">
        <w:rPr>
          <w:rFonts w:ascii="Arial" w:eastAsia="Arial" w:hAnsi="Arial" w:cs="Arial"/>
          <w:sz w:val="24"/>
          <w:szCs w:val="24"/>
        </w:rPr>
        <w:t xml:space="preserve"> comercial del mes entre las cadenas comerciales: un </w:t>
      </w:r>
      <w:r w:rsidRPr="00AF6DB7">
        <w:rPr>
          <w:rFonts w:ascii="Arial" w:eastAsia="Arial" w:hAnsi="Arial" w:cs="Arial"/>
          <w:b/>
          <w:bCs/>
          <w:sz w:val="24"/>
          <w:szCs w:val="24"/>
        </w:rPr>
        <w:t xml:space="preserve">29,3% para ‘Rocío, contar la verdad para seguir viva’ </w:t>
      </w:r>
      <w:r w:rsidRPr="00AF6DB7">
        <w:rPr>
          <w:rFonts w:ascii="Arial" w:eastAsia="Arial" w:hAnsi="Arial" w:cs="Arial"/>
          <w:sz w:val="24"/>
          <w:szCs w:val="24"/>
        </w:rPr>
        <w:t>y</w:t>
      </w:r>
      <w:r w:rsidRPr="00AF6DB7">
        <w:rPr>
          <w:rFonts w:ascii="Arial" w:eastAsia="Arial" w:hAnsi="Arial" w:cs="Arial"/>
          <w:b/>
          <w:bCs/>
          <w:sz w:val="24"/>
          <w:szCs w:val="24"/>
        </w:rPr>
        <w:t xml:space="preserve"> un 26,7% para ‘Supervivientes’.</w:t>
      </w:r>
    </w:p>
    <w:p w14:paraId="683848D0" w14:textId="77777777" w:rsidR="00AF6DB7" w:rsidRPr="00AF6DB7" w:rsidRDefault="00AF6DB7" w:rsidP="00AF6DB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24E5078" w14:textId="77777777" w:rsidR="00AF6DB7" w:rsidRPr="00AF6DB7" w:rsidRDefault="00AF6DB7" w:rsidP="00AF6DB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F6DB7">
        <w:rPr>
          <w:rFonts w:ascii="Arial" w:eastAsia="Arial" w:hAnsi="Arial" w:cs="Arial"/>
          <w:b/>
          <w:sz w:val="24"/>
          <w:szCs w:val="24"/>
        </w:rPr>
        <w:t>Supervivientes: Conexión Honduras</w:t>
      </w:r>
      <w:r w:rsidRPr="00AF6DB7">
        <w:rPr>
          <w:rFonts w:ascii="Arial" w:eastAsia="Arial" w:hAnsi="Arial" w:cs="Arial"/>
          <w:b/>
          <w:bCs/>
          <w:sz w:val="24"/>
          <w:szCs w:val="24"/>
        </w:rPr>
        <w:t xml:space="preserve"> (19,8% y 2,1M)</w:t>
      </w:r>
      <w:r w:rsidRPr="00AF6DB7">
        <w:rPr>
          <w:rFonts w:ascii="Arial" w:eastAsia="Arial" w:hAnsi="Arial" w:cs="Arial"/>
          <w:sz w:val="24"/>
          <w:szCs w:val="24"/>
        </w:rPr>
        <w:t xml:space="preserve"> ha liderado su franja con un </w:t>
      </w:r>
      <w:r w:rsidRPr="00AF6DB7">
        <w:rPr>
          <w:rFonts w:ascii="Arial" w:eastAsia="Arial" w:hAnsi="Arial" w:cs="Arial"/>
          <w:i/>
          <w:iCs/>
          <w:sz w:val="24"/>
          <w:szCs w:val="24"/>
        </w:rPr>
        <w:t>target</w:t>
      </w:r>
      <w:r w:rsidRPr="00AF6DB7">
        <w:rPr>
          <w:rFonts w:ascii="Arial" w:eastAsia="Arial" w:hAnsi="Arial" w:cs="Arial"/>
          <w:sz w:val="24"/>
          <w:szCs w:val="24"/>
        </w:rPr>
        <w:t xml:space="preserve"> comercial del 20,1%, un 24,6% en jóvenes de 13 a 24 años y un 22,2% en la horquilla de 25 a 34 años. Mismo liderazgo ha obtenido </w:t>
      </w:r>
      <w:r w:rsidRPr="00AF6DB7">
        <w:rPr>
          <w:rFonts w:ascii="Arial" w:eastAsia="Arial" w:hAnsi="Arial" w:cs="Arial"/>
          <w:b/>
          <w:bCs/>
          <w:sz w:val="24"/>
          <w:szCs w:val="24"/>
        </w:rPr>
        <w:t>‘Supervivientes: tierra de nadie’ (14,3% y 2,4M),</w:t>
      </w:r>
      <w:r w:rsidRPr="00AF6DB7">
        <w:rPr>
          <w:rFonts w:ascii="Arial" w:eastAsia="Arial" w:hAnsi="Arial" w:cs="Arial"/>
          <w:sz w:val="24"/>
          <w:szCs w:val="24"/>
        </w:rPr>
        <w:t xml:space="preserve"> con un 18,8% en jóvenes de 13-24 años, mientras que las galas de ‘</w:t>
      </w:r>
      <w:r w:rsidRPr="00AF6DB7">
        <w:rPr>
          <w:rFonts w:ascii="Arial" w:eastAsia="Arial" w:hAnsi="Arial" w:cs="Arial"/>
          <w:b/>
          <w:bCs/>
          <w:sz w:val="24"/>
          <w:szCs w:val="24"/>
        </w:rPr>
        <w:t>Supervivientes: última hora’</w:t>
      </w:r>
      <w:r w:rsidRPr="00AF6DB7">
        <w:rPr>
          <w:rFonts w:ascii="Arial" w:eastAsia="Arial" w:hAnsi="Arial" w:cs="Arial"/>
          <w:sz w:val="24"/>
          <w:szCs w:val="24"/>
        </w:rPr>
        <w:t xml:space="preserve"> de los lunes (15,9% y 2,2M) han liderado entre los menores de 25 años con un 18,7%.</w:t>
      </w:r>
    </w:p>
    <w:p w14:paraId="2171DD91" w14:textId="77777777" w:rsidR="00AF6DB7" w:rsidRPr="00AF6DB7" w:rsidRDefault="00AF6DB7" w:rsidP="00AF6DB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84DD294" w14:textId="77777777" w:rsidR="00AF6DB7" w:rsidRPr="00AF6DB7" w:rsidRDefault="00AF6DB7" w:rsidP="00AF6DB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F6DB7">
        <w:rPr>
          <w:rFonts w:ascii="Arial" w:eastAsia="Arial" w:hAnsi="Arial" w:cs="Arial"/>
          <w:sz w:val="24"/>
          <w:szCs w:val="24"/>
        </w:rPr>
        <w:t>En la oferta del fin de semana han destacado</w:t>
      </w:r>
      <w:r w:rsidRPr="00AF6DB7">
        <w:rPr>
          <w:rFonts w:ascii="Arial" w:eastAsia="Arial" w:hAnsi="Arial" w:cs="Arial"/>
          <w:b/>
          <w:bCs/>
          <w:sz w:val="24"/>
          <w:szCs w:val="24"/>
        </w:rPr>
        <w:t xml:space="preserve"> ‘Viernes Deluxe’ (15,2% y 1,5M) </w:t>
      </w:r>
      <w:r w:rsidRPr="00AF6DB7">
        <w:rPr>
          <w:rFonts w:ascii="Arial" w:eastAsia="Arial" w:hAnsi="Arial" w:cs="Arial"/>
          <w:sz w:val="24"/>
          <w:szCs w:val="24"/>
        </w:rPr>
        <w:t>y</w:t>
      </w:r>
      <w:r w:rsidRPr="00AF6DB7">
        <w:rPr>
          <w:rFonts w:ascii="Arial" w:eastAsia="Arial" w:hAnsi="Arial" w:cs="Arial"/>
          <w:b/>
          <w:bCs/>
          <w:sz w:val="24"/>
          <w:szCs w:val="24"/>
        </w:rPr>
        <w:t xml:space="preserve"> ‘Sábado Deluxe’ (15,8% y 1,7M), </w:t>
      </w:r>
      <w:r w:rsidRPr="00AF6DB7">
        <w:rPr>
          <w:rFonts w:ascii="Arial" w:eastAsia="Arial" w:hAnsi="Arial" w:cs="Arial"/>
          <w:sz w:val="24"/>
          <w:szCs w:val="24"/>
        </w:rPr>
        <w:t>imbatible por vigesimocuarto mes consecutivo.</w:t>
      </w:r>
    </w:p>
    <w:p w14:paraId="4C943582" w14:textId="77777777" w:rsidR="00AF6DB7" w:rsidRPr="00AF6DB7" w:rsidRDefault="00AF6DB7" w:rsidP="00AF6DB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CD5897A" w14:textId="77777777" w:rsidR="00AF6DB7" w:rsidRPr="00AF6DB7" w:rsidRDefault="00AF6DB7" w:rsidP="00AF6DB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F6DB7">
        <w:rPr>
          <w:rFonts w:ascii="Arial" w:eastAsia="Times New Roman" w:hAnsi="Arial" w:cs="Arial"/>
          <w:sz w:val="24"/>
          <w:szCs w:val="24"/>
        </w:rPr>
        <w:t xml:space="preserve">En cine y ficción, </w:t>
      </w:r>
      <w:r w:rsidRPr="00AF6DB7">
        <w:rPr>
          <w:rFonts w:ascii="Arial" w:eastAsia="Times New Roman" w:hAnsi="Arial" w:cs="Arial"/>
          <w:b/>
          <w:bCs/>
          <w:sz w:val="24"/>
          <w:szCs w:val="24"/>
        </w:rPr>
        <w:t>‘</w:t>
      </w:r>
      <w:r w:rsidRPr="00AF6DB7">
        <w:rPr>
          <w:rFonts w:ascii="Arial" w:hAnsi="Arial" w:cs="Arial"/>
          <w:b/>
          <w:bCs/>
          <w:kern w:val="24"/>
          <w:sz w:val="24"/>
          <w:szCs w:val="24"/>
        </w:rPr>
        <w:t xml:space="preserve">Love </w:t>
      </w:r>
      <w:proofErr w:type="spellStart"/>
      <w:r w:rsidRPr="00AF6DB7">
        <w:rPr>
          <w:rFonts w:ascii="Arial" w:hAnsi="Arial" w:cs="Arial"/>
          <w:b/>
          <w:bCs/>
          <w:kern w:val="24"/>
          <w:sz w:val="24"/>
          <w:szCs w:val="24"/>
        </w:rPr>
        <w:t>is</w:t>
      </w:r>
      <w:proofErr w:type="spellEnd"/>
      <w:r w:rsidRPr="00AF6DB7">
        <w:rPr>
          <w:rFonts w:ascii="Arial" w:hAnsi="Arial" w:cs="Arial"/>
          <w:b/>
          <w:bCs/>
          <w:kern w:val="24"/>
          <w:sz w:val="24"/>
          <w:szCs w:val="24"/>
        </w:rPr>
        <w:t xml:space="preserve"> in </w:t>
      </w:r>
      <w:proofErr w:type="spellStart"/>
      <w:r w:rsidRPr="00AF6DB7">
        <w:rPr>
          <w:rFonts w:ascii="Arial" w:hAnsi="Arial" w:cs="Arial"/>
          <w:b/>
          <w:bCs/>
          <w:kern w:val="24"/>
          <w:sz w:val="24"/>
          <w:szCs w:val="24"/>
        </w:rPr>
        <w:t>the</w:t>
      </w:r>
      <w:proofErr w:type="spellEnd"/>
      <w:r w:rsidRPr="00AF6DB7">
        <w:rPr>
          <w:rFonts w:ascii="Arial" w:hAnsi="Arial" w:cs="Arial"/>
          <w:b/>
          <w:bCs/>
          <w:kern w:val="24"/>
          <w:sz w:val="24"/>
          <w:szCs w:val="24"/>
        </w:rPr>
        <w:t xml:space="preserve"> air’</w:t>
      </w:r>
      <w:r w:rsidRPr="00AF6DB7">
        <w:rPr>
          <w:rFonts w:ascii="Arial" w:hAnsi="Arial" w:cs="Arial"/>
          <w:kern w:val="24"/>
          <w:sz w:val="24"/>
          <w:szCs w:val="24"/>
        </w:rPr>
        <w:t xml:space="preserve"> ha obtenido un seguimiento de casi 1M de espectadores y un 9,1%, mientras que ‘</w:t>
      </w:r>
      <w:proofErr w:type="spellStart"/>
      <w:r w:rsidRPr="00AF6DB7">
        <w:rPr>
          <w:rFonts w:ascii="Arial" w:eastAsia="Arial" w:hAnsi="Arial" w:cs="Arial"/>
          <w:b/>
          <w:bCs/>
          <w:sz w:val="24"/>
          <w:szCs w:val="24"/>
        </w:rPr>
        <w:t>Bohemian</w:t>
      </w:r>
      <w:proofErr w:type="spellEnd"/>
      <w:r w:rsidRPr="00AF6DB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AF6DB7">
        <w:rPr>
          <w:rFonts w:ascii="Arial" w:eastAsia="Arial" w:hAnsi="Arial" w:cs="Arial"/>
          <w:b/>
          <w:bCs/>
          <w:sz w:val="24"/>
          <w:szCs w:val="24"/>
        </w:rPr>
        <w:t>Rhapsody</w:t>
      </w:r>
      <w:proofErr w:type="spellEnd"/>
      <w:r w:rsidRPr="00AF6DB7">
        <w:rPr>
          <w:rFonts w:ascii="Arial" w:eastAsia="Arial" w:hAnsi="Arial" w:cs="Arial"/>
          <w:b/>
          <w:bCs/>
          <w:sz w:val="24"/>
          <w:szCs w:val="24"/>
        </w:rPr>
        <w:t xml:space="preserve">’ (22,5% y 3,2M) </w:t>
      </w:r>
      <w:r w:rsidRPr="00AF6DB7">
        <w:rPr>
          <w:rFonts w:ascii="Arial" w:eastAsia="Arial" w:hAnsi="Arial" w:cs="Arial"/>
          <w:sz w:val="24"/>
          <w:szCs w:val="24"/>
        </w:rPr>
        <w:t xml:space="preserve">ha sido el título cinematográfico más visto desde abril de 2020. </w:t>
      </w:r>
    </w:p>
    <w:p w14:paraId="5707F193" w14:textId="77777777" w:rsidR="00AF6DB7" w:rsidRPr="00AF6DB7" w:rsidRDefault="00AF6DB7" w:rsidP="00AF6DB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6CB6FBD" w14:textId="77777777" w:rsidR="00AF6DB7" w:rsidRPr="00AF6DB7" w:rsidRDefault="00AF6DB7" w:rsidP="00AF6DB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</w:rPr>
      </w:pPr>
      <w:r w:rsidRPr="00AF6DB7"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</w:rPr>
        <w:t xml:space="preserve">Un </w:t>
      </w:r>
      <w:proofErr w:type="spellStart"/>
      <w:r w:rsidRPr="00AF6DB7">
        <w:rPr>
          <w:rFonts w:ascii="Arial" w:eastAsia="Times New Roman" w:hAnsi="Arial" w:cs="Arial"/>
          <w:b/>
          <w:bCs/>
          <w:i/>
          <w:iCs/>
          <w:color w:val="1F4E79" w:themeColor="accent5" w:themeShade="80"/>
          <w:sz w:val="28"/>
          <w:szCs w:val="28"/>
        </w:rPr>
        <w:t>day</w:t>
      </w:r>
      <w:proofErr w:type="spellEnd"/>
      <w:r w:rsidRPr="00AF6DB7">
        <w:rPr>
          <w:rFonts w:ascii="Arial" w:eastAsia="Times New Roman" w:hAnsi="Arial" w:cs="Arial"/>
          <w:b/>
          <w:bCs/>
          <w:i/>
          <w:iCs/>
          <w:color w:val="1F4E79" w:themeColor="accent5" w:themeShade="80"/>
          <w:sz w:val="28"/>
          <w:szCs w:val="28"/>
        </w:rPr>
        <w:t xml:space="preserve"> time</w:t>
      </w:r>
      <w:r w:rsidRPr="00AF6DB7"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</w:rPr>
        <w:t xml:space="preserve"> líder que convierte en positivo a </w:t>
      </w:r>
      <w:r w:rsidRPr="00567996">
        <w:rPr>
          <w:rFonts w:ascii="Arial" w:eastAsia="Times New Roman" w:hAnsi="Arial" w:cs="Arial"/>
          <w:b/>
          <w:bCs/>
          <w:i/>
          <w:iCs/>
          <w:color w:val="1F4E79" w:themeColor="accent5" w:themeShade="80"/>
          <w:sz w:val="28"/>
          <w:szCs w:val="28"/>
        </w:rPr>
        <w:t>target</w:t>
      </w:r>
      <w:r w:rsidRPr="00AF6DB7"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</w:rPr>
        <w:t xml:space="preserve"> comercial con todos sus productos </w:t>
      </w:r>
    </w:p>
    <w:p w14:paraId="59F58A78" w14:textId="77777777" w:rsidR="004533D7" w:rsidRDefault="004533D7" w:rsidP="00AF6D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58A8F9C" w14:textId="77777777" w:rsidR="00AF6DB7" w:rsidRPr="00AF6DB7" w:rsidRDefault="00AF6DB7" w:rsidP="00AF6D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6DB7">
        <w:rPr>
          <w:rFonts w:ascii="Arial" w:eastAsia="Times New Roman" w:hAnsi="Arial" w:cs="Arial"/>
          <w:sz w:val="24"/>
          <w:szCs w:val="24"/>
        </w:rPr>
        <w:t xml:space="preserve">Telecinco ha vuelto a hacer gala de su imbatibilidad en </w:t>
      </w:r>
      <w:proofErr w:type="spellStart"/>
      <w:r w:rsidRPr="00AF6DB7">
        <w:rPr>
          <w:rFonts w:ascii="Arial" w:eastAsia="Times New Roman" w:hAnsi="Arial" w:cs="Arial"/>
          <w:i/>
          <w:iCs/>
          <w:sz w:val="24"/>
          <w:szCs w:val="24"/>
        </w:rPr>
        <w:t>day</w:t>
      </w:r>
      <w:proofErr w:type="spellEnd"/>
      <w:r w:rsidRPr="00AF6DB7">
        <w:rPr>
          <w:rFonts w:ascii="Arial" w:eastAsia="Times New Roman" w:hAnsi="Arial" w:cs="Arial"/>
          <w:i/>
          <w:iCs/>
          <w:sz w:val="24"/>
          <w:szCs w:val="24"/>
        </w:rPr>
        <w:t xml:space="preserve"> time</w:t>
      </w:r>
      <w:r w:rsidRPr="00AF6DB7">
        <w:rPr>
          <w:rFonts w:ascii="Arial" w:eastAsia="Times New Roman" w:hAnsi="Arial" w:cs="Arial"/>
          <w:sz w:val="24"/>
          <w:szCs w:val="24"/>
        </w:rPr>
        <w:t xml:space="preserve"> con una sólida oferta de programas que, sin excepción, han mostrado una conversión positiva a los públicos más comerciales.</w:t>
      </w:r>
    </w:p>
    <w:p w14:paraId="4FB4275E" w14:textId="77777777" w:rsidR="00AF6DB7" w:rsidRPr="00AF6DB7" w:rsidRDefault="00AF6DB7" w:rsidP="00AF6D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D5716DE" w14:textId="77777777" w:rsidR="00AF6DB7" w:rsidRPr="00AF6DB7" w:rsidRDefault="00AF6DB7" w:rsidP="00AF6D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6DB7">
        <w:rPr>
          <w:rFonts w:ascii="Arial" w:eastAsia="Times New Roman" w:hAnsi="Arial" w:cs="Arial"/>
          <w:b/>
          <w:bCs/>
          <w:sz w:val="24"/>
          <w:szCs w:val="24"/>
        </w:rPr>
        <w:t>‘El programa de Ana Rosa’ (22,3% y 713.000)</w:t>
      </w:r>
      <w:r w:rsidRPr="00AF6DB7">
        <w:rPr>
          <w:rFonts w:ascii="Arial" w:eastAsia="Times New Roman" w:hAnsi="Arial" w:cs="Arial"/>
          <w:sz w:val="24"/>
          <w:szCs w:val="24"/>
        </w:rPr>
        <w:t xml:space="preserve"> ha alcanzado su mayo más competitivo de los últimos 14 años (2007). Es además el programa del </w:t>
      </w:r>
      <w:proofErr w:type="spellStart"/>
      <w:r w:rsidRPr="00AF6DB7">
        <w:rPr>
          <w:rFonts w:ascii="Arial" w:eastAsia="Times New Roman" w:hAnsi="Arial" w:cs="Arial"/>
          <w:i/>
          <w:iCs/>
          <w:sz w:val="24"/>
          <w:szCs w:val="24"/>
        </w:rPr>
        <w:t>day</w:t>
      </w:r>
      <w:proofErr w:type="spellEnd"/>
      <w:r w:rsidRPr="00AF6DB7">
        <w:rPr>
          <w:rFonts w:ascii="Arial" w:eastAsia="Times New Roman" w:hAnsi="Arial" w:cs="Arial"/>
          <w:i/>
          <w:iCs/>
          <w:sz w:val="24"/>
          <w:szCs w:val="24"/>
        </w:rPr>
        <w:t xml:space="preserve"> time</w:t>
      </w:r>
      <w:r w:rsidRPr="00AF6DB7">
        <w:rPr>
          <w:rFonts w:ascii="Arial" w:eastAsia="Times New Roman" w:hAnsi="Arial" w:cs="Arial"/>
          <w:sz w:val="24"/>
          <w:szCs w:val="24"/>
        </w:rPr>
        <w:t xml:space="preserve"> con mejor </w:t>
      </w:r>
      <w:r w:rsidRPr="00AF6DB7">
        <w:rPr>
          <w:rFonts w:ascii="Arial" w:eastAsia="Times New Roman" w:hAnsi="Arial" w:cs="Arial"/>
          <w:i/>
          <w:iCs/>
          <w:sz w:val="24"/>
          <w:szCs w:val="24"/>
        </w:rPr>
        <w:t>target</w:t>
      </w:r>
      <w:r w:rsidRPr="00AF6DB7">
        <w:rPr>
          <w:rFonts w:ascii="Arial" w:eastAsia="Times New Roman" w:hAnsi="Arial" w:cs="Arial"/>
          <w:sz w:val="24"/>
          <w:szCs w:val="24"/>
        </w:rPr>
        <w:t xml:space="preserve"> comercial con el 22,6%. Domina su franja con una distancia de 9,5 puntos sobre ‘Espejo Público (12,8%), la mayor ventaja entre ambos desde diciembre del año 2006. </w:t>
      </w:r>
    </w:p>
    <w:p w14:paraId="211514B2" w14:textId="77777777" w:rsidR="00AF6DB7" w:rsidRPr="00AF6DB7" w:rsidRDefault="00AF6DB7" w:rsidP="00AF6DB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40C7C688" w14:textId="77777777" w:rsidR="00AF6DB7" w:rsidRPr="00AF6DB7" w:rsidRDefault="00AF6DB7" w:rsidP="00AF6D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6DB7">
        <w:rPr>
          <w:rFonts w:ascii="Arial" w:eastAsia="Times New Roman" w:hAnsi="Arial" w:cs="Arial"/>
          <w:b/>
          <w:bCs/>
          <w:sz w:val="24"/>
          <w:szCs w:val="24"/>
        </w:rPr>
        <w:lastRenderedPageBreak/>
        <w:t>‘Ya es mediodía’</w:t>
      </w:r>
      <w:r w:rsidRPr="00AF6DB7">
        <w:rPr>
          <w:rFonts w:ascii="Arial" w:eastAsia="Times New Roman" w:hAnsi="Arial" w:cs="Arial"/>
          <w:sz w:val="24"/>
          <w:szCs w:val="24"/>
        </w:rPr>
        <w:t xml:space="preserve"> (15,7% y 1,3M) ha batido su récord histórico de cuota, con un 17,4% en </w:t>
      </w:r>
      <w:r w:rsidRPr="00AF6DB7">
        <w:rPr>
          <w:rFonts w:ascii="Arial" w:eastAsia="Times New Roman" w:hAnsi="Arial" w:cs="Arial"/>
          <w:i/>
          <w:iCs/>
          <w:sz w:val="24"/>
          <w:szCs w:val="24"/>
        </w:rPr>
        <w:t>target</w:t>
      </w:r>
      <w:r w:rsidRPr="00AF6DB7">
        <w:rPr>
          <w:rFonts w:ascii="Arial" w:eastAsia="Times New Roman" w:hAnsi="Arial" w:cs="Arial"/>
          <w:sz w:val="24"/>
          <w:szCs w:val="24"/>
        </w:rPr>
        <w:t xml:space="preserve"> comercial y un 19,0% en el público de 35 a 54 años. </w:t>
      </w:r>
    </w:p>
    <w:p w14:paraId="4B182F64" w14:textId="77777777" w:rsidR="00AF6DB7" w:rsidRPr="00AF6DB7" w:rsidRDefault="00AF6DB7" w:rsidP="00AF6D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9DEDCF3" w14:textId="77777777" w:rsidR="00AF6DB7" w:rsidRPr="00AF6DB7" w:rsidRDefault="00AF6DB7" w:rsidP="00AF6D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6DB7">
        <w:rPr>
          <w:rFonts w:ascii="Arial" w:eastAsia="Times New Roman" w:hAnsi="Arial" w:cs="Arial"/>
          <w:b/>
          <w:bCs/>
          <w:sz w:val="24"/>
          <w:szCs w:val="24"/>
        </w:rPr>
        <w:t>‘Sálvame diario’</w:t>
      </w:r>
      <w:r w:rsidRPr="00AF6DB7">
        <w:rPr>
          <w:rFonts w:ascii="Arial" w:eastAsia="Times New Roman" w:hAnsi="Arial" w:cs="Arial"/>
          <w:sz w:val="24"/>
          <w:szCs w:val="24"/>
        </w:rPr>
        <w:t xml:space="preserve"> (17,5% y 1,7M) ha vuelto a liderar su franja por 124º consecutivo con la mayor ventaja sobre Antena 3 (5,4 puntos) desde noviembre de 2020. Le ha seguido ‘</w:t>
      </w:r>
      <w:r w:rsidRPr="00AF6DB7">
        <w:rPr>
          <w:rFonts w:ascii="Arial" w:eastAsia="Times New Roman" w:hAnsi="Arial" w:cs="Arial"/>
          <w:b/>
          <w:bCs/>
          <w:sz w:val="24"/>
          <w:szCs w:val="24"/>
        </w:rPr>
        <w:t>El Precio Justo’ (11,9% y 1,3M)</w:t>
      </w:r>
      <w:r w:rsidRPr="00AF6DB7">
        <w:rPr>
          <w:rFonts w:ascii="Arial" w:eastAsia="Times New Roman" w:hAnsi="Arial" w:cs="Arial"/>
          <w:sz w:val="24"/>
          <w:szCs w:val="24"/>
        </w:rPr>
        <w:t xml:space="preserve"> con un 13,5% en público más demandado por las marcas y un 14,3% en jóvenes de 13 a 24 años.</w:t>
      </w:r>
    </w:p>
    <w:p w14:paraId="75CF5D5F" w14:textId="77777777" w:rsidR="00AF6DB7" w:rsidRPr="00AF6DB7" w:rsidRDefault="00AF6DB7" w:rsidP="00AF6D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F3DF289" w14:textId="77777777" w:rsidR="00AF6DB7" w:rsidRPr="00AF6DB7" w:rsidRDefault="00AF6DB7" w:rsidP="00AF6D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6DB7">
        <w:rPr>
          <w:rFonts w:ascii="Arial" w:eastAsia="Times New Roman" w:hAnsi="Arial" w:cs="Arial"/>
          <w:sz w:val="24"/>
          <w:szCs w:val="24"/>
        </w:rPr>
        <w:t xml:space="preserve">En fin de semana, </w:t>
      </w:r>
      <w:r w:rsidRPr="00AF6DB7">
        <w:rPr>
          <w:rFonts w:ascii="Arial" w:eastAsia="Times New Roman" w:hAnsi="Arial" w:cs="Arial"/>
          <w:b/>
          <w:bCs/>
          <w:sz w:val="24"/>
          <w:szCs w:val="24"/>
        </w:rPr>
        <w:t>‘</w:t>
      </w:r>
      <w:proofErr w:type="spellStart"/>
      <w:r w:rsidRPr="00AF6DB7">
        <w:rPr>
          <w:rFonts w:ascii="Arial" w:eastAsia="Times New Roman" w:hAnsi="Arial" w:cs="Arial"/>
          <w:b/>
          <w:bCs/>
          <w:sz w:val="24"/>
          <w:szCs w:val="24"/>
        </w:rPr>
        <w:t>Socialite</w:t>
      </w:r>
      <w:proofErr w:type="spellEnd"/>
      <w:r w:rsidRPr="00AF6DB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AF6DB7">
        <w:rPr>
          <w:rFonts w:ascii="Arial" w:eastAsia="Times New Roman" w:hAnsi="Arial" w:cs="Arial"/>
          <w:b/>
          <w:bCs/>
          <w:sz w:val="24"/>
          <w:szCs w:val="24"/>
        </w:rPr>
        <w:t>by</w:t>
      </w:r>
      <w:proofErr w:type="spellEnd"/>
      <w:r w:rsidRPr="00AF6DB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AF6DB7">
        <w:rPr>
          <w:rFonts w:ascii="Arial" w:eastAsia="Times New Roman" w:hAnsi="Arial" w:cs="Arial"/>
          <w:b/>
          <w:bCs/>
          <w:sz w:val="24"/>
          <w:szCs w:val="24"/>
        </w:rPr>
        <w:t>Cazariposas</w:t>
      </w:r>
      <w:proofErr w:type="spellEnd"/>
      <w:r w:rsidRPr="00AF6DB7">
        <w:rPr>
          <w:rFonts w:ascii="Arial" w:eastAsia="Times New Roman" w:hAnsi="Arial" w:cs="Arial"/>
          <w:b/>
          <w:bCs/>
          <w:sz w:val="24"/>
          <w:szCs w:val="24"/>
        </w:rPr>
        <w:t>’</w:t>
      </w:r>
      <w:r w:rsidRPr="00AF6DB7">
        <w:rPr>
          <w:rFonts w:ascii="Arial" w:eastAsia="Times New Roman" w:hAnsi="Arial" w:cs="Arial"/>
          <w:sz w:val="24"/>
          <w:szCs w:val="24"/>
        </w:rPr>
        <w:t xml:space="preserve"> (16,1% y 1,3M) ha registrado el mayo más competitivo de su historia siendo de nuevo lo más visto de su franja, mientras que </w:t>
      </w:r>
      <w:r w:rsidRPr="00AF6DB7">
        <w:rPr>
          <w:rFonts w:ascii="Arial" w:eastAsia="Times New Roman" w:hAnsi="Arial" w:cs="Arial"/>
          <w:b/>
          <w:bCs/>
          <w:sz w:val="24"/>
          <w:szCs w:val="24"/>
        </w:rPr>
        <w:t>‘Viva la vida’</w:t>
      </w:r>
      <w:r w:rsidRPr="00AF6DB7">
        <w:rPr>
          <w:rFonts w:ascii="Arial" w:eastAsia="Times New Roman" w:hAnsi="Arial" w:cs="Arial"/>
          <w:sz w:val="24"/>
          <w:szCs w:val="24"/>
        </w:rPr>
        <w:t xml:space="preserve"> (13% y 1,4M) también se ha impuesto en su banda.</w:t>
      </w:r>
    </w:p>
    <w:p w14:paraId="768E3055" w14:textId="77777777" w:rsidR="00AF6DB7" w:rsidRPr="00AF6DB7" w:rsidRDefault="00AF6DB7" w:rsidP="00AF6D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7E1206B" w14:textId="77777777" w:rsidR="00AF6DB7" w:rsidRDefault="00AF6DB7" w:rsidP="00AF6DB7">
      <w:pPr>
        <w:spacing w:after="0" w:line="240" w:lineRule="auto"/>
        <w:jc w:val="both"/>
        <w:rPr>
          <w:rFonts w:ascii="Arial" w:eastAsia="Times New Roman" w:hAnsi="Arial" w:cs="Arial"/>
          <w:color w:val="0D0D0D"/>
          <w:sz w:val="24"/>
          <w:szCs w:val="24"/>
        </w:rPr>
      </w:pPr>
      <w:r w:rsidRPr="00AF6DB7">
        <w:rPr>
          <w:rFonts w:ascii="Arial" w:eastAsia="Times New Roman" w:hAnsi="Arial" w:cs="Arial"/>
          <w:color w:val="0D0D0D"/>
          <w:sz w:val="24"/>
          <w:szCs w:val="24"/>
        </w:rPr>
        <w:t xml:space="preserve">Además, cerca de 1,8M de espectadores y un 14,1% de </w:t>
      </w:r>
      <w:r w:rsidRPr="00AF6DB7">
        <w:rPr>
          <w:rFonts w:ascii="Arial" w:eastAsia="Times New Roman" w:hAnsi="Arial" w:cs="Arial"/>
          <w:i/>
          <w:iCs/>
          <w:color w:val="0D0D0D"/>
          <w:sz w:val="24"/>
          <w:szCs w:val="24"/>
        </w:rPr>
        <w:t>share</w:t>
      </w:r>
      <w:r w:rsidRPr="00AF6DB7">
        <w:rPr>
          <w:rFonts w:ascii="Arial" w:eastAsia="Times New Roman" w:hAnsi="Arial" w:cs="Arial"/>
          <w:color w:val="0D0D0D"/>
          <w:sz w:val="24"/>
          <w:szCs w:val="24"/>
        </w:rPr>
        <w:t xml:space="preserve"> han elegido </w:t>
      </w:r>
      <w:r w:rsidRPr="00AF6DB7">
        <w:rPr>
          <w:rFonts w:ascii="Arial" w:eastAsia="Times New Roman" w:hAnsi="Arial" w:cs="Arial"/>
          <w:b/>
          <w:bCs/>
          <w:color w:val="0D0D0D"/>
          <w:sz w:val="24"/>
          <w:szCs w:val="24"/>
        </w:rPr>
        <w:t>Informativos Telecinco</w:t>
      </w:r>
      <w:r w:rsidRPr="00AF6DB7">
        <w:rPr>
          <w:rFonts w:ascii="Arial" w:eastAsia="Times New Roman" w:hAnsi="Arial" w:cs="Arial"/>
          <w:color w:val="0D0D0D"/>
          <w:sz w:val="24"/>
          <w:szCs w:val="24"/>
        </w:rPr>
        <w:t xml:space="preserve"> en la media de sus ediciones de sobremesa y tarde de lunes a domingo. El </w:t>
      </w:r>
      <w:r w:rsidRPr="00AF6DB7">
        <w:rPr>
          <w:rFonts w:ascii="Arial" w:eastAsia="Times New Roman" w:hAnsi="Arial" w:cs="Arial"/>
          <w:b/>
          <w:bCs/>
          <w:color w:val="0D0D0D"/>
          <w:sz w:val="24"/>
          <w:szCs w:val="24"/>
        </w:rPr>
        <w:t>informativo de mediodía de lunes a viernes ha alcanzado un 15,9% y 1,9M,</w:t>
      </w:r>
      <w:r w:rsidRPr="00AF6DB7">
        <w:rPr>
          <w:rFonts w:ascii="Arial" w:eastAsia="Times New Roman" w:hAnsi="Arial" w:cs="Arial"/>
          <w:color w:val="0D0D0D"/>
          <w:sz w:val="24"/>
          <w:szCs w:val="24"/>
        </w:rPr>
        <w:t xml:space="preserve"> seguido de la edición de </w:t>
      </w:r>
      <w:r w:rsidRPr="00AF6DB7">
        <w:rPr>
          <w:rFonts w:ascii="Arial" w:eastAsia="Times New Roman" w:hAnsi="Arial" w:cs="Arial"/>
          <w:b/>
          <w:bCs/>
          <w:color w:val="0D0D0D"/>
          <w:sz w:val="24"/>
          <w:szCs w:val="24"/>
        </w:rPr>
        <w:t xml:space="preserve">Pedro Piqueras </w:t>
      </w:r>
      <w:r w:rsidRPr="00AF6DB7">
        <w:rPr>
          <w:rFonts w:ascii="Arial" w:eastAsia="Times New Roman" w:hAnsi="Arial" w:cs="Arial"/>
          <w:color w:val="0D0D0D"/>
          <w:sz w:val="24"/>
          <w:szCs w:val="24"/>
        </w:rPr>
        <w:t xml:space="preserve">con una media del 12,7% y 1,8M, mientras que el Matinal (12,8% y 214.000) ha obtenido su mejor mayo en 13 años, imponiéndose a ‘Antena 3 Noticias’. En </w:t>
      </w:r>
      <w:r w:rsidRPr="00AF6DB7">
        <w:rPr>
          <w:rFonts w:ascii="Arial" w:eastAsia="Times New Roman" w:hAnsi="Arial" w:cs="Arial"/>
          <w:b/>
          <w:bCs/>
          <w:color w:val="0D0D0D"/>
          <w:sz w:val="24"/>
          <w:szCs w:val="24"/>
        </w:rPr>
        <w:t>fin de semana</w:t>
      </w:r>
      <w:r w:rsidRPr="00AF6DB7">
        <w:rPr>
          <w:rFonts w:ascii="Arial" w:eastAsia="Times New Roman" w:hAnsi="Arial" w:cs="Arial"/>
          <w:color w:val="0D0D0D"/>
          <w:sz w:val="24"/>
          <w:szCs w:val="24"/>
        </w:rPr>
        <w:t>, la edición de mediodía ha alcanzado un 15,2% y 1,7M y la de la noche un 12,6% y casi 1,6 M.</w:t>
      </w:r>
    </w:p>
    <w:p w14:paraId="4330668A" w14:textId="32DAA3C3" w:rsidR="00EE536A" w:rsidRDefault="00EE536A" w:rsidP="00583AD0">
      <w:pPr>
        <w:spacing w:after="0" w:line="240" w:lineRule="auto"/>
        <w:jc w:val="both"/>
        <w:rPr>
          <w:rFonts w:ascii="Arial" w:eastAsia="Times New Roman" w:hAnsi="Arial" w:cs="Arial"/>
          <w:color w:val="0D0D0D"/>
          <w:sz w:val="24"/>
          <w:szCs w:val="24"/>
        </w:rPr>
      </w:pPr>
    </w:p>
    <w:p w14:paraId="384E18AF" w14:textId="729A70F8" w:rsidR="00101BAA" w:rsidRDefault="00101BAA" w:rsidP="00101BAA">
      <w:pPr>
        <w:spacing w:after="0" w:line="240" w:lineRule="auto"/>
        <w:jc w:val="both"/>
        <w:rPr>
          <w:rFonts w:ascii="Arial" w:eastAsia="Arial" w:hAnsi="Arial" w:cs="Arial"/>
          <w:b/>
          <w:bCs/>
          <w:color w:val="002C5F"/>
          <w:sz w:val="28"/>
          <w:szCs w:val="28"/>
        </w:rPr>
      </w:pPr>
      <w:r w:rsidRPr="00343DB8">
        <w:rPr>
          <w:rFonts w:ascii="Arial" w:eastAsia="Arial" w:hAnsi="Arial" w:cs="Arial"/>
          <w:b/>
          <w:bCs/>
          <w:color w:val="002C5F"/>
          <w:sz w:val="28"/>
          <w:szCs w:val="28"/>
        </w:rPr>
        <w:t>Cuatro</w:t>
      </w:r>
      <w:r w:rsidR="00646126"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 </w:t>
      </w:r>
      <w:r w:rsidR="004533D7"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anota </w:t>
      </w:r>
      <w:r w:rsidR="00091BF1"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su mejor dato anual y </w:t>
      </w:r>
      <w:r w:rsidR="00646126">
        <w:rPr>
          <w:rFonts w:ascii="Arial" w:eastAsia="Arial" w:hAnsi="Arial" w:cs="Arial"/>
          <w:b/>
          <w:bCs/>
          <w:color w:val="002C5F"/>
          <w:sz w:val="28"/>
          <w:szCs w:val="28"/>
        </w:rPr>
        <w:t>supera a La Sexta en</w:t>
      </w:r>
      <w:r w:rsidR="00144FB0" w:rsidRPr="00343DB8"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 jóvenes</w:t>
      </w:r>
    </w:p>
    <w:p w14:paraId="7F86303D" w14:textId="77777777" w:rsidR="004533D7" w:rsidRDefault="004533D7" w:rsidP="001E24D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4DEA153" w14:textId="5D57F27D" w:rsidR="001E24D9" w:rsidRDefault="001E24D9" w:rsidP="001E24D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E24D9">
        <w:rPr>
          <w:rFonts w:ascii="Arial" w:eastAsiaTheme="minorHAnsi" w:hAnsi="Arial" w:cs="Arial"/>
          <w:sz w:val="24"/>
          <w:szCs w:val="24"/>
          <w:lang w:eastAsia="en-US"/>
        </w:rPr>
        <w:t xml:space="preserve">Cuatro ha cerrado </w:t>
      </w:r>
      <w:r w:rsidR="00091BF1">
        <w:rPr>
          <w:rFonts w:ascii="Arial" w:eastAsiaTheme="minorHAnsi" w:hAnsi="Arial" w:cs="Arial"/>
          <w:sz w:val="24"/>
          <w:szCs w:val="24"/>
          <w:lang w:eastAsia="en-US"/>
        </w:rPr>
        <w:t>mayo</w:t>
      </w:r>
      <w:r w:rsidR="004533D7">
        <w:rPr>
          <w:rFonts w:ascii="Arial" w:eastAsiaTheme="minorHAnsi" w:hAnsi="Arial" w:cs="Arial"/>
          <w:sz w:val="24"/>
          <w:szCs w:val="24"/>
          <w:lang w:eastAsia="en-US"/>
        </w:rPr>
        <w:t xml:space="preserve"> con un 5,4</w:t>
      </w:r>
      <w:r w:rsidRPr="001E24D9">
        <w:rPr>
          <w:rFonts w:ascii="Arial" w:eastAsiaTheme="minorHAnsi" w:hAnsi="Arial" w:cs="Arial"/>
          <w:sz w:val="24"/>
          <w:szCs w:val="24"/>
          <w:lang w:eastAsia="en-US"/>
        </w:rPr>
        <w:t xml:space="preserve">% en total día y un 5,1% en </w:t>
      </w:r>
      <w:r w:rsidRPr="001E24D9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prime time</w:t>
      </w:r>
      <w:r w:rsidRPr="001E24D9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4533D7">
        <w:rPr>
          <w:rFonts w:ascii="Arial" w:eastAsiaTheme="minorHAnsi" w:hAnsi="Arial" w:cs="Arial"/>
          <w:sz w:val="24"/>
          <w:szCs w:val="24"/>
          <w:lang w:eastAsia="en-US"/>
        </w:rPr>
        <w:t xml:space="preserve">en ambas franjas </w:t>
      </w:r>
      <w:r w:rsidR="00091BF1">
        <w:rPr>
          <w:rFonts w:ascii="Arial" w:eastAsiaTheme="minorHAnsi" w:hAnsi="Arial" w:cs="Arial"/>
          <w:sz w:val="24"/>
          <w:szCs w:val="24"/>
          <w:lang w:eastAsia="en-US"/>
        </w:rPr>
        <w:t xml:space="preserve">ha crecido 3 décimas sobre abril, </w:t>
      </w:r>
      <w:r w:rsidRPr="001E24D9">
        <w:rPr>
          <w:rFonts w:ascii="Arial" w:eastAsiaTheme="minorHAnsi" w:hAnsi="Arial" w:cs="Arial"/>
          <w:sz w:val="24"/>
          <w:szCs w:val="24"/>
          <w:lang w:eastAsia="en-US"/>
        </w:rPr>
        <w:t xml:space="preserve">convirtiendo sus cifras de forma positiva al </w:t>
      </w:r>
      <w:r w:rsidRPr="001E24D9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target</w:t>
      </w:r>
      <w:r w:rsidRPr="001E24D9">
        <w:rPr>
          <w:rFonts w:ascii="Arial" w:eastAsiaTheme="minorHAnsi" w:hAnsi="Arial" w:cs="Arial"/>
          <w:sz w:val="24"/>
          <w:szCs w:val="24"/>
          <w:lang w:eastAsia="en-US"/>
        </w:rPr>
        <w:t xml:space="preserve"> comercial, con un 6,</w:t>
      </w:r>
      <w:r w:rsidR="004533D7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1E24D9">
        <w:rPr>
          <w:rFonts w:ascii="Arial" w:eastAsiaTheme="minorHAnsi" w:hAnsi="Arial" w:cs="Arial"/>
          <w:sz w:val="24"/>
          <w:szCs w:val="24"/>
          <w:lang w:eastAsia="en-US"/>
        </w:rPr>
        <w:t xml:space="preserve">% en ambos parámetros. Se </w:t>
      </w:r>
      <w:r w:rsidRPr="001E24D9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impone a La Sexta en jóvenes de 13 a 24 años</w:t>
      </w:r>
      <w:r w:rsidR="004533D7">
        <w:rPr>
          <w:rFonts w:ascii="Arial" w:eastAsiaTheme="minorHAnsi" w:hAnsi="Arial" w:cs="Arial"/>
          <w:sz w:val="24"/>
          <w:szCs w:val="24"/>
          <w:lang w:eastAsia="en-US"/>
        </w:rPr>
        <w:t xml:space="preserve"> (6,3% vs. 4,4</w:t>
      </w:r>
      <w:r w:rsidRPr="001E24D9">
        <w:rPr>
          <w:rFonts w:ascii="Arial" w:eastAsiaTheme="minorHAnsi" w:hAnsi="Arial" w:cs="Arial"/>
          <w:sz w:val="24"/>
          <w:szCs w:val="24"/>
          <w:lang w:eastAsia="en-US"/>
        </w:rPr>
        <w:t xml:space="preserve">%) así como </w:t>
      </w:r>
      <w:r w:rsidRPr="001E24D9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de 25 a 34 años</w:t>
      </w:r>
      <w:r w:rsidRPr="001E24D9">
        <w:rPr>
          <w:rFonts w:ascii="Arial" w:eastAsiaTheme="minorHAnsi" w:hAnsi="Arial" w:cs="Arial"/>
          <w:sz w:val="24"/>
          <w:szCs w:val="24"/>
          <w:lang w:eastAsia="en-US"/>
        </w:rPr>
        <w:t xml:space="preserve"> (6,1% vs. 5,7%).</w:t>
      </w:r>
    </w:p>
    <w:p w14:paraId="17D8A46A" w14:textId="77777777" w:rsidR="001E24D9" w:rsidRPr="001E24D9" w:rsidRDefault="001E24D9" w:rsidP="001E24D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BC3E97F" w14:textId="77777777" w:rsidR="004533D7" w:rsidRPr="004533D7" w:rsidRDefault="004533D7" w:rsidP="004533D7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533D7">
        <w:rPr>
          <w:rFonts w:ascii="Arial" w:eastAsiaTheme="minorHAnsi" w:hAnsi="Arial" w:cs="Arial"/>
          <w:sz w:val="24"/>
          <w:szCs w:val="24"/>
          <w:lang w:eastAsia="en-US"/>
        </w:rPr>
        <w:t xml:space="preserve">En </w:t>
      </w:r>
      <w:r w:rsidRPr="004533D7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prime time</w:t>
      </w:r>
      <w:r w:rsidRPr="004533D7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Pr="004533D7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‘Supervivientes: Tierra de Nadie’</w:t>
      </w:r>
      <w:r w:rsidRPr="004533D7">
        <w:rPr>
          <w:rFonts w:ascii="Arial" w:eastAsiaTheme="minorHAnsi" w:hAnsi="Arial" w:cs="Arial"/>
          <w:sz w:val="24"/>
          <w:szCs w:val="24"/>
          <w:lang w:eastAsia="en-US"/>
        </w:rPr>
        <w:t xml:space="preserve"> (15,2% y 1,6M) lidera su franja de emisión tras crecer 2,5 puntos respecto a abril y suma 2,3 puntos en </w:t>
      </w:r>
      <w:r w:rsidRPr="004533D7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target</w:t>
      </w:r>
      <w:r w:rsidRPr="004533D7">
        <w:rPr>
          <w:rFonts w:ascii="Arial" w:eastAsiaTheme="minorHAnsi" w:hAnsi="Arial" w:cs="Arial"/>
          <w:sz w:val="24"/>
          <w:szCs w:val="24"/>
          <w:lang w:eastAsia="en-US"/>
        </w:rPr>
        <w:t xml:space="preserve"> comercial (16,1%), con especial afinidad entre el público de 13 a 24 años (24,4%). </w:t>
      </w:r>
    </w:p>
    <w:p w14:paraId="75E168ED" w14:textId="77777777" w:rsidR="004533D7" w:rsidRPr="004533D7" w:rsidRDefault="004533D7" w:rsidP="004533D7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3834A5A" w14:textId="6D9AD271" w:rsidR="004533D7" w:rsidRPr="004533D7" w:rsidRDefault="004533D7" w:rsidP="004533D7">
      <w:pPr>
        <w:spacing w:after="0" w:line="240" w:lineRule="auto"/>
        <w:jc w:val="both"/>
        <w:rPr>
          <w:rFonts w:ascii="Arial" w:eastAsiaTheme="minorHAnsi" w:hAnsi="Arial" w:cs="Arial"/>
          <w:iCs/>
          <w:sz w:val="24"/>
          <w:szCs w:val="24"/>
          <w:lang w:eastAsia="en-US"/>
        </w:rPr>
      </w:pPr>
      <w:r w:rsidRPr="004533D7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‘Planeta Calleja’</w:t>
      </w:r>
      <w:r w:rsidRPr="004533D7">
        <w:rPr>
          <w:rFonts w:ascii="Arial" w:eastAsiaTheme="minorHAnsi" w:hAnsi="Arial" w:cs="Arial"/>
          <w:sz w:val="24"/>
          <w:szCs w:val="24"/>
          <w:lang w:eastAsia="en-US"/>
        </w:rPr>
        <w:t xml:space="preserve"> (7,9% y 1,3M) ha estrenado temporada con un </w:t>
      </w:r>
      <w:r w:rsidRPr="004533D7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target</w:t>
      </w:r>
      <w:r w:rsidRPr="004533D7">
        <w:rPr>
          <w:rFonts w:ascii="Arial" w:eastAsiaTheme="minorHAnsi" w:hAnsi="Arial" w:cs="Arial"/>
          <w:sz w:val="24"/>
          <w:szCs w:val="24"/>
          <w:lang w:eastAsia="en-US"/>
        </w:rPr>
        <w:t xml:space="preserve"> comercial del 10,0% de </w:t>
      </w:r>
      <w:r w:rsidRPr="004533D7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share</w:t>
      </w:r>
      <w:r w:rsidRPr="004533D7">
        <w:rPr>
          <w:rFonts w:ascii="Arial" w:eastAsiaTheme="minorHAnsi" w:hAnsi="Arial" w:cs="Arial"/>
          <w:sz w:val="24"/>
          <w:szCs w:val="24"/>
          <w:lang w:eastAsia="en-US"/>
        </w:rPr>
        <w:t xml:space="preserve">, superando a La Sexta en todos los </w:t>
      </w:r>
      <w:r w:rsidRPr="004533D7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targets</w:t>
      </w:r>
      <w:r w:rsidRPr="004533D7">
        <w:rPr>
          <w:rFonts w:ascii="Arial" w:eastAsiaTheme="minorHAnsi" w:hAnsi="Arial" w:cs="Arial"/>
          <w:sz w:val="24"/>
          <w:szCs w:val="24"/>
          <w:lang w:eastAsia="en-US"/>
        </w:rPr>
        <w:t>;</w:t>
      </w:r>
      <w:r w:rsidRPr="004533D7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‘</w:t>
      </w:r>
      <w:r w:rsidRPr="004533D7">
        <w:rPr>
          <w:rFonts w:ascii="Arial" w:eastAsiaTheme="minorHAnsi" w:hAnsi="Arial" w:cs="Arial"/>
          <w:b/>
          <w:bCs/>
          <w:iCs/>
          <w:sz w:val="24"/>
          <w:szCs w:val="24"/>
          <w:lang w:eastAsia="en-US"/>
        </w:rPr>
        <w:t>Cuarto Milenio’</w:t>
      </w:r>
      <w:r w:rsidRPr="004533D7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(7,5% y 795.000) ha registrado su mejor cuota de pantalla desde septiembre, por encima de su rival y anota un </w:t>
      </w:r>
      <w:r w:rsidRPr="004533D7">
        <w:rPr>
          <w:rFonts w:ascii="Arial" w:eastAsiaTheme="minorHAnsi" w:hAnsi="Arial" w:cs="Arial"/>
          <w:i/>
          <w:sz w:val="24"/>
          <w:szCs w:val="24"/>
          <w:lang w:eastAsia="en-US"/>
        </w:rPr>
        <w:t>target</w:t>
      </w:r>
      <w:r w:rsidRPr="004533D7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comercial del 10,1%</w:t>
      </w:r>
      <w:r w:rsidR="009C4A2D">
        <w:rPr>
          <w:rFonts w:ascii="Arial" w:eastAsiaTheme="minorHAnsi" w:hAnsi="Arial" w:cs="Arial"/>
          <w:iCs/>
          <w:sz w:val="24"/>
          <w:szCs w:val="24"/>
          <w:lang w:eastAsia="en-US"/>
        </w:rPr>
        <w:t>.</w:t>
      </w:r>
      <w:r w:rsidRPr="004533D7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</w:t>
      </w:r>
    </w:p>
    <w:p w14:paraId="3EC83B15" w14:textId="77777777" w:rsidR="004533D7" w:rsidRPr="004533D7" w:rsidRDefault="004533D7" w:rsidP="004533D7">
      <w:pPr>
        <w:spacing w:after="0" w:line="240" w:lineRule="auto"/>
        <w:jc w:val="both"/>
        <w:rPr>
          <w:rFonts w:ascii="Arial" w:eastAsiaTheme="minorHAnsi" w:hAnsi="Arial" w:cs="Arial"/>
          <w:iCs/>
          <w:sz w:val="24"/>
          <w:szCs w:val="24"/>
          <w:lang w:eastAsia="en-US"/>
        </w:rPr>
      </w:pPr>
    </w:p>
    <w:p w14:paraId="228F6D0C" w14:textId="12840DFB" w:rsidR="004533D7" w:rsidRPr="004533D7" w:rsidRDefault="004533D7" w:rsidP="004533D7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533D7">
        <w:rPr>
          <w:rFonts w:ascii="Arial" w:eastAsiaTheme="minorHAnsi" w:hAnsi="Arial" w:cs="Arial"/>
          <w:b/>
          <w:bCs/>
          <w:iCs/>
          <w:sz w:val="24"/>
          <w:szCs w:val="24"/>
          <w:lang w:eastAsia="en-US"/>
        </w:rPr>
        <w:t>“15-M: ¿Generación perdida?”</w:t>
      </w:r>
      <w:r w:rsidRPr="004533D7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(4,6%) ha aventajado a La Sexta en </w:t>
      </w:r>
      <w:r w:rsidRPr="004533D7">
        <w:rPr>
          <w:rFonts w:ascii="Arial" w:eastAsiaTheme="minorHAnsi" w:hAnsi="Arial" w:cs="Arial"/>
          <w:i/>
          <w:sz w:val="24"/>
          <w:szCs w:val="24"/>
          <w:lang w:eastAsia="en-US"/>
        </w:rPr>
        <w:t>target</w:t>
      </w:r>
      <w:r w:rsidRPr="004533D7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comercial (6%</w:t>
      </w:r>
      <w:r w:rsidR="009C4A2D">
        <w:rPr>
          <w:rFonts w:ascii="Arial" w:eastAsiaTheme="minorHAnsi" w:hAnsi="Arial" w:cs="Arial"/>
          <w:iCs/>
          <w:sz w:val="24"/>
          <w:szCs w:val="24"/>
          <w:lang w:eastAsia="en-US"/>
        </w:rPr>
        <w:t>)</w:t>
      </w:r>
      <w:r w:rsidRPr="004533D7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y </w:t>
      </w:r>
      <w:r w:rsidR="009C4A2D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jóvenes de </w:t>
      </w:r>
      <w:r w:rsidRPr="004533D7">
        <w:rPr>
          <w:rFonts w:ascii="Arial" w:eastAsiaTheme="minorHAnsi" w:hAnsi="Arial" w:cs="Arial"/>
          <w:iCs/>
          <w:sz w:val="24"/>
          <w:szCs w:val="24"/>
          <w:lang w:eastAsia="en-US"/>
        </w:rPr>
        <w:t>25</w:t>
      </w:r>
      <w:r w:rsidR="009C4A2D">
        <w:rPr>
          <w:rFonts w:ascii="Arial" w:eastAsiaTheme="minorHAnsi" w:hAnsi="Arial" w:cs="Arial"/>
          <w:iCs/>
          <w:sz w:val="24"/>
          <w:szCs w:val="24"/>
          <w:lang w:eastAsia="en-US"/>
        </w:rPr>
        <w:t>-</w:t>
      </w:r>
      <w:r w:rsidRPr="004533D7">
        <w:rPr>
          <w:rFonts w:ascii="Arial" w:eastAsiaTheme="minorHAnsi" w:hAnsi="Arial" w:cs="Arial"/>
          <w:iCs/>
          <w:sz w:val="24"/>
          <w:szCs w:val="24"/>
          <w:lang w:eastAsia="en-US"/>
        </w:rPr>
        <w:t>34</w:t>
      </w:r>
      <w:r w:rsidR="009C4A2D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años (7,5%)</w:t>
      </w:r>
      <w:r w:rsidRPr="004533D7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; </w:t>
      </w:r>
      <w:r w:rsidRPr="004533D7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‘</w:t>
      </w:r>
      <w:proofErr w:type="spellStart"/>
      <w:r w:rsidRPr="004533D7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First</w:t>
      </w:r>
      <w:proofErr w:type="spellEnd"/>
      <w:r w:rsidRPr="004533D7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Dates’ </w:t>
      </w:r>
      <w:r w:rsidRPr="004533D7">
        <w:rPr>
          <w:rFonts w:ascii="Arial" w:eastAsiaTheme="minorHAnsi" w:hAnsi="Arial" w:cs="Arial"/>
          <w:sz w:val="24"/>
          <w:szCs w:val="24"/>
          <w:lang w:eastAsia="en-US"/>
        </w:rPr>
        <w:t xml:space="preserve">con un 5,8% y casi 1M, ha </w:t>
      </w:r>
      <w:r w:rsidR="009C4A2D">
        <w:rPr>
          <w:rFonts w:ascii="Arial" w:eastAsiaTheme="minorHAnsi" w:hAnsi="Arial" w:cs="Arial"/>
          <w:sz w:val="24"/>
          <w:szCs w:val="24"/>
          <w:lang w:eastAsia="en-US"/>
        </w:rPr>
        <w:t>crecido hasta el 7,8%</w:t>
      </w:r>
      <w:r w:rsidRPr="004533D7">
        <w:rPr>
          <w:rFonts w:ascii="Arial" w:eastAsiaTheme="minorHAnsi" w:hAnsi="Arial" w:cs="Arial"/>
          <w:sz w:val="24"/>
          <w:szCs w:val="24"/>
          <w:lang w:eastAsia="en-US"/>
        </w:rPr>
        <w:t xml:space="preserve"> en espectadores de 25 a 34 años; ‘</w:t>
      </w:r>
      <w:r w:rsidRPr="004533D7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Horizonte’</w:t>
      </w:r>
      <w:r w:rsidRPr="004533D7">
        <w:rPr>
          <w:rFonts w:ascii="Arial" w:eastAsiaTheme="minorHAnsi" w:hAnsi="Arial" w:cs="Arial"/>
          <w:sz w:val="24"/>
          <w:szCs w:val="24"/>
          <w:lang w:eastAsia="en-US"/>
        </w:rPr>
        <w:t xml:space="preserve"> (5,3% y 538.000), por encima de La Sexta en público de 25 a 54 años (6,5%</w:t>
      </w:r>
      <w:r w:rsidR="009C4A2D">
        <w:rPr>
          <w:rFonts w:ascii="Arial" w:eastAsiaTheme="minorHAnsi" w:hAnsi="Arial" w:cs="Arial"/>
          <w:sz w:val="24"/>
          <w:szCs w:val="24"/>
          <w:lang w:eastAsia="en-US"/>
        </w:rPr>
        <w:t>) y</w:t>
      </w:r>
      <w:r w:rsidRPr="004533D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533D7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target</w:t>
      </w:r>
      <w:r w:rsidRPr="004533D7">
        <w:rPr>
          <w:rFonts w:ascii="Arial" w:eastAsiaTheme="minorHAnsi" w:hAnsi="Arial" w:cs="Arial"/>
          <w:sz w:val="24"/>
          <w:szCs w:val="24"/>
          <w:lang w:eastAsia="en-US"/>
        </w:rPr>
        <w:t xml:space="preserve"> comercial (6,6%</w:t>
      </w:r>
      <w:r w:rsidR="009C4A2D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Pr="004533D7">
        <w:rPr>
          <w:rFonts w:ascii="Arial" w:eastAsiaTheme="minorHAnsi" w:hAnsi="Arial" w:cs="Arial"/>
          <w:sz w:val="24"/>
          <w:szCs w:val="24"/>
          <w:lang w:eastAsia="en-US"/>
        </w:rPr>
        <w:t>y ‘</w:t>
      </w:r>
      <w:r w:rsidRPr="004533D7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Caronte’ (4,0% y 449.000)</w:t>
      </w:r>
      <w:r w:rsidRPr="004533D7">
        <w:rPr>
          <w:rFonts w:ascii="Arial" w:eastAsiaTheme="minorHAnsi" w:hAnsi="Arial" w:cs="Arial"/>
          <w:sz w:val="24"/>
          <w:szCs w:val="24"/>
          <w:lang w:eastAsia="en-US"/>
        </w:rPr>
        <w:t xml:space="preserve"> ha obtenido sus mayores seguidores entre los espectadores de 25 a 34 años con un 5,3%.</w:t>
      </w:r>
    </w:p>
    <w:p w14:paraId="735725B8" w14:textId="77777777" w:rsidR="004533D7" w:rsidRPr="004533D7" w:rsidRDefault="004533D7" w:rsidP="004533D7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9925A3E" w14:textId="77777777" w:rsidR="009C4A2D" w:rsidRDefault="009C4A2D" w:rsidP="004533D7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6CC31F6" w14:textId="77777777" w:rsidR="009C4A2D" w:rsidRDefault="009C4A2D" w:rsidP="004533D7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631CFDE" w14:textId="77777777" w:rsidR="009C4A2D" w:rsidRDefault="009C4A2D" w:rsidP="004533D7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A67D5DF" w14:textId="77777777" w:rsidR="009C4A2D" w:rsidRDefault="009C4A2D" w:rsidP="004533D7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75733D1" w14:textId="77777777" w:rsidR="009C4A2D" w:rsidRDefault="009C4A2D" w:rsidP="004533D7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14F052B" w14:textId="22541FA8" w:rsidR="004533D7" w:rsidRDefault="004533D7" w:rsidP="004533D7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533D7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En </w:t>
      </w:r>
      <w:proofErr w:type="spellStart"/>
      <w:r w:rsidRPr="004533D7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day</w:t>
      </w:r>
      <w:proofErr w:type="spellEnd"/>
      <w:r w:rsidRPr="004533D7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 time</w:t>
      </w:r>
      <w:r w:rsidRPr="004533D7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Pr="004533D7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‘Todo es mentira’</w:t>
      </w:r>
      <w:r w:rsidRPr="004533D7">
        <w:rPr>
          <w:rFonts w:ascii="Arial" w:eastAsiaTheme="minorHAnsi" w:hAnsi="Arial" w:cs="Arial"/>
          <w:sz w:val="24"/>
          <w:szCs w:val="24"/>
          <w:lang w:eastAsia="en-US"/>
        </w:rPr>
        <w:t xml:space="preserve"> (6%) se ha impuesto a La Sexta entre los jóvenes (7% vs. 6,1%) y en espectadores de 25 a 34 años (7,0%</w:t>
      </w:r>
      <w:r w:rsidR="009C4A2D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Pr="004533D7">
        <w:rPr>
          <w:rFonts w:ascii="Arial" w:eastAsiaTheme="minorHAnsi" w:hAnsi="Arial" w:cs="Arial"/>
          <w:sz w:val="24"/>
          <w:szCs w:val="24"/>
          <w:lang w:eastAsia="en-US"/>
        </w:rPr>
        <w:t xml:space="preserve">; al igual que </w:t>
      </w:r>
      <w:r w:rsidRPr="004533D7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‘Cuatro al día’</w:t>
      </w:r>
      <w:r w:rsidRPr="004533D7">
        <w:rPr>
          <w:rFonts w:ascii="Arial" w:eastAsiaTheme="minorHAnsi" w:hAnsi="Arial" w:cs="Arial"/>
          <w:sz w:val="24"/>
          <w:szCs w:val="24"/>
          <w:lang w:eastAsia="en-US"/>
        </w:rPr>
        <w:t xml:space="preserve"> (505.000 y 5,5%), que ha anotado su mejor resultado mensual desde enero, creciendo al 6,1% en 35-54 años. </w:t>
      </w:r>
      <w:r w:rsidRPr="004533D7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‘Cuatro al día a las 20 horas’ </w:t>
      </w:r>
      <w:r w:rsidRPr="004533D7">
        <w:rPr>
          <w:rFonts w:ascii="Arial" w:eastAsiaTheme="minorHAnsi" w:hAnsi="Arial" w:cs="Arial"/>
          <w:sz w:val="24"/>
          <w:szCs w:val="24"/>
          <w:lang w:eastAsia="en-US"/>
        </w:rPr>
        <w:t>(4,9%</w:t>
      </w:r>
      <w:r w:rsidRPr="004533D7">
        <w:rPr>
          <w:rFonts w:ascii="Arial" w:eastAsiaTheme="minorHAnsi" w:hAnsi="Arial" w:cs="Arial"/>
          <w:sz w:val="24"/>
          <w:szCs w:val="24"/>
          <w:lang w:eastAsia="en-US"/>
        </w:rPr>
        <w:tab/>
        <w:t>y</w:t>
      </w:r>
      <w:r w:rsidR="009C4A2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533D7">
        <w:rPr>
          <w:rFonts w:ascii="Arial" w:eastAsiaTheme="minorHAnsi" w:hAnsi="Arial" w:cs="Arial"/>
          <w:sz w:val="24"/>
          <w:szCs w:val="24"/>
          <w:lang w:eastAsia="en-US"/>
        </w:rPr>
        <w:t xml:space="preserve">513.000) anota su mejor cuota mensual de los últimos 12 meses escalando hasta 5,9% en </w:t>
      </w:r>
      <w:r w:rsidR="009C4A2D" w:rsidRPr="009C4A2D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t</w:t>
      </w:r>
      <w:r w:rsidRPr="009C4A2D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arget</w:t>
      </w:r>
      <w:r w:rsidRPr="004533D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C4A2D">
        <w:rPr>
          <w:rFonts w:ascii="Arial" w:eastAsiaTheme="minorHAnsi" w:hAnsi="Arial" w:cs="Arial"/>
          <w:sz w:val="24"/>
          <w:szCs w:val="24"/>
          <w:lang w:eastAsia="en-US"/>
        </w:rPr>
        <w:t>c</w:t>
      </w:r>
      <w:r w:rsidRPr="004533D7">
        <w:rPr>
          <w:rFonts w:ascii="Arial" w:eastAsiaTheme="minorHAnsi" w:hAnsi="Arial" w:cs="Arial"/>
          <w:sz w:val="24"/>
          <w:szCs w:val="24"/>
          <w:lang w:eastAsia="en-US"/>
        </w:rPr>
        <w:t>omercial. ‘</w:t>
      </w:r>
      <w:r w:rsidRPr="004533D7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Cuatro al día fin de semana’ </w:t>
      </w:r>
      <w:r w:rsidRPr="004533D7">
        <w:rPr>
          <w:rFonts w:ascii="Arial" w:eastAsiaTheme="minorHAnsi" w:hAnsi="Arial" w:cs="Arial"/>
          <w:sz w:val="24"/>
          <w:szCs w:val="24"/>
          <w:lang w:eastAsia="en-US"/>
        </w:rPr>
        <w:t xml:space="preserve">(6,3% y 536.000) ha sumado casi 1 punto respecto a abril, con su mejor resultado mensual desde enero. </w:t>
      </w:r>
      <w:r w:rsidRPr="004533D7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‘El concurso del año’ </w:t>
      </w:r>
      <w:r w:rsidRPr="004533D7">
        <w:rPr>
          <w:rFonts w:ascii="Arial" w:eastAsiaTheme="minorHAnsi" w:hAnsi="Arial" w:cs="Arial"/>
          <w:sz w:val="24"/>
          <w:szCs w:val="24"/>
          <w:lang w:eastAsia="en-US"/>
        </w:rPr>
        <w:t xml:space="preserve">(4,5% y 464.000) ha repetido su mejor resultado mensual </w:t>
      </w:r>
      <w:r w:rsidR="009C4A2D">
        <w:rPr>
          <w:rFonts w:ascii="Arial" w:eastAsiaTheme="minorHAnsi" w:hAnsi="Arial" w:cs="Arial"/>
          <w:sz w:val="24"/>
          <w:szCs w:val="24"/>
          <w:lang w:eastAsia="en-US"/>
        </w:rPr>
        <w:t xml:space="preserve">de </w:t>
      </w:r>
      <w:r w:rsidR="009C4A2D" w:rsidRPr="009C4A2D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share</w:t>
      </w:r>
      <w:r w:rsidRPr="004533D7">
        <w:rPr>
          <w:rFonts w:ascii="Arial" w:eastAsiaTheme="minorHAnsi" w:hAnsi="Arial" w:cs="Arial"/>
          <w:sz w:val="24"/>
          <w:szCs w:val="24"/>
          <w:lang w:eastAsia="en-US"/>
        </w:rPr>
        <w:t xml:space="preserve"> de la temporada, </w:t>
      </w:r>
      <w:r w:rsidR="009C4A2D">
        <w:rPr>
          <w:rFonts w:ascii="Arial" w:eastAsiaTheme="minorHAnsi" w:hAnsi="Arial" w:cs="Arial"/>
          <w:sz w:val="24"/>
          <w:szCs w:val="24"/>
          <w:lang w:eastAsia="en-US"/>
        </w:rPr>
        <w:t>con un</w:t>
      </w:r>
      <w:r w:rsidRPr="004533D7">
        <w:rPr>
          <w:rFonts w:ascii="Arial" w:eastAsiaTheme="minorHAnsi" w:hAnsi="Arial" w:cs="Arial"/>
          <w:sz w:val="24"/>
          <w:szCs w:val="24"/>
          <w:lang w:eastAsia="en-US"/>
        </w:rPr>
        <w:t xml:space="preserve"> 5,3% en </w:t>
      </w:r>
      <w:r w:rsidRPr="004533D7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target</w:t>
      </w:r>
      <w:r w:rsidRPr="004533D7">
        <w:rPr>
          <w:rFonts w:ascii="Arial" w:eastAsiaTheme="minorHAnsi" w:hAnsi="Arial" w:cs="Arial"/>
          <w:sz w:val="24"/>
          <w:szCs w:val="24"/>
          <w:lang w:eastAsia="en-US"/>
        </w:rPr>
        <w:t xml:space="preserve"> comercial.</w:t>
      </w:r>
      <w:r w:rsidRPr="001E24D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14:paraId="3D042A7F" w14:textId="77777777" w:rsidR="001E24D9" w:rsidRPr="001E24D9" w:rsidRDefault="001E24D9" w:rsidP="001E24D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6C3D291" w14:textId="05B5CE88" w:rsidR="001E24D9" w:rsidRPr="00091BF1" w:rsidRDefault="001E24D9" w:rsidP="001E24D9">
      <w:pPr>
        <w:spacing w:after="0" w:line="240" w:lineRule="auto"/>
        <w:jc w:val="both"/>
        <w:rPr>
          <w:rFonts w:ascii="Arial" w:eastAsiaTheme="minorHAnsi" w:hAnsi="Arial" w:cs="Arial"/>
          <w:b/>
          <w:bCs/>
          <w:color w:val="1F4E79" w:themeColor="accent5" w:themeShade="80"/>
          <w:sz w:val="28"/>
          <w:szCs w:val="28"/>
          <w:lang w:eastAsia="en-US"/>
        </w:rPr>
      </w:pPr>
      <w:r w:rsidRPr="001E24D9">
        <w:rPr>
          <w:rFonts w:ascii="Arial" w:eastAsiaTheme="minorHAnsi" w:hAnsi="Arial" w:cs="Arial"/>
          <w:b/>
          <w:bCs/>
          <w:color w:val="1F4E79" w:themeColor="accent5" w:themeShade="80"/>
          <w:sz w:val="28"/>
          <w:szCs w:val="28"/>
          <w:lang w:eastAsia="en-US"/>
        </w:rPr>
        <w:t xml:space="preserve">Los temáticos, 85 meses líderes, con FDF como tercer canal con mayor audiencia en </w:t>
      </w:r>
      <w:r w:rsidR="00091BF1">
        <w:rPr>
          <w:rFonts w:ascii="Arial" w:eastAsiaTheme="minorHAnsi" w:hAnsi="Arial" w:cs="Arial"/>
          <w:b/>
          <w:bCs/>
          <w:color w:val="1F4E79" w:themeColor="accent5" w:themeShade="80"/>
          <w:sz w:val="28"/>
          <w:szCs w:val="28"/>
          <w:lang w:eastAsia="en-US"/>
        </w:rPr>
        <w:t>jóvenes</w:t>
      </w:r>
      <w:r w:rsidRPr="001E24D9">
        <w:rPr>
          <w:rFonts w:ascii="Arial" w:eastAsiaTheme="minorHAnsi" w:hAnsi="Arial" w:cs="Arial"/>
          <w:b/>
          <w:bCs/>
          <w:color w:val="1F4E79" w:themeColor="accent5" w:themeShade="80"/>
          <w:sz w:val="28"/>
          <w:szCs w:val="28"/>
          <w:lang w:eastAsia="en-US"/>
        </w:rPr>
        <w:t xml:space="preserve"> y Boing como canal infantil líder </w:t>
      </w:r>
    </w:p>
    <w:p w14:paraId="04796838" w14:textId="77777777" w:rsidR="001E24D9" w:rsidRPr="001E24D9" w:rsidRDefault="001E24D9" w:rsidP="001E24D9">
      <w:p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14:paraId="1171C5B7" w14:textId="74616950" w:rsidR="001E24D9" w:rsidRDefault="001E24D9" w:rsidP="001E24D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E24D9">
        <w:rPr>
          <w:rFonts w:ascii="Arial" w:eastAsiaTheme="minorHAnsi" w:hAnsi="Arial" w:cs="Arial"/>
          <w:sz w:val="24"/>
          <w:szCs w:val="24"/>
          <w:lang w:eastAsia="en-US"/>
        </w:rPr>
        <w:t xml:space="preserve">El conjunto de </w:t>
      </w:r>
      <w:r w:rsidRPr="001E24D9">
        <w:rPr>
          <w:rFonts w:ascii="Arial" w:eastAsiaTheme="minorHAnsi" w:hAnsi="Arial" w:cs="Arial"/>
          <w:b/>
          <w:sz w:val="24"/>
          <w:szCs w:val="24"/>
          <w:lang w:eastAsia="en-US"/>
        </w:rPr>
        <w:t>canales temáticos de Mediaset España</w:t>
      </w:r>
      <w:r w:rsidRPr="001E24D9">
        <w:rPr>
          <w:rFonts w:ascii="Arial" w:eastAsiaTheme="minorHAnsi" w:hAnsi="Arial" w:cs="Arial"/>
          <w:sz w:val="24"/>
          <w:szCs w:val="24"/>
          <w:lang w:eastAsia="en-US"/>
        </w:rPr>
        <w:t xml:space="preserve">, con un </w:t>
      </w:r>
      <w:r w:rsidRPr="001E24D9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7,7% de </w:t>
      </w:r>
      <w:r w:rsidRPr="001E24D9">
        <w:rPr>
          <w:rFonts w:ascii="Arial" w:eastAsiaTheme="minorHAnsi" w:hAnsi="Arial" w:cs="Arial"/>
          <w:b/>
          <w:i/>
          <w:sz w:val="24"/>
          <w:szCs w:val="24"/>
          <w:lang w:eastAsia="en-US"/>
        </w:rPr>
        <w:t>share</w:t>
      </w:r>
      <w:r w:rsidRPr="001E24D9">
        <w:rPr>
          <w:rFonts w:ascii="Arial" w:eastAsiaTheme="minorHAnsi" w:hAnsi="Arial" w:cs="Arial"/>
          <w:sz w:val="24"/>
          <w:szCs w:val="24"/>
          <w:lang w:eastAsia="en-US"/>
        </w:rPr>
        <w:t xml:space="preserve">, acumulan </w:t>
      </w:r>
      <w:r w:rsidRPr="001E24D9">
        <w:rPr>
          <w:rFonts w:ascii="Arial" w:eastAsiaTheme="minorHAnsi" w:hAnsi="Arial" w:cs="Arial"/>
          <w:b/>
          <w:sz w:val="24"/>
          <w:szCs w:val="24"/>
          <w:lang w:eastAsia="en-US"/>
        </w:rPr>
        <w:t>85 meses de liderazgo consecutivo</w:t>
      </w:r>
      <w:r w:rsidRPr="001E24D9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Pr="001E24D9">
        <w:rPr>
          <w:rFonts w:ascii="Arial" w:eastAsiaTheme="minorHAnsi" w:hAnsi="Arial" w:cs="Arial"/>
          <w:b/>
          <w:sz w:val="24"/>
          <w:szCs w:val="24"/>
          <w:lang w:eastAsia="en-US"/>
        </w:rPr>
        <w:t>Factoría de Ficción</w:t>
      </w:r>
      <w:r w:rsidRPr="001E24D9">
        <w:rPr>
          <w:rFonts w:ascii="Arial" w:eastAsiaTheme="minorHAnsi" w:hAnsi="Arial" w:cs="Arial"/>
          <w:sz w:val="24"/>
          <w:szCs w:val="24"/>
          <w:lang w:eastAsia="en-US"/>
        </w:rPr>
        <w:t xml:space="preserve">, con un 2,4% en total día y un 3,2% en </w:t>
      </w:r>
      <w:r w:rsidRPr="001E24D9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target</w:t>
      </w:r>
      <w:r w:rsidRPr="001E24D9">
        <w:rPr>
          <w:rFonts w:ascii="Arial" w:eastAsiaTheme="minorHAnsi" w:hAnsi="Arial" w:cs="Arial"/>
          <w:sz w:val="24"/>
          <w:szCs w:val="24"/>
          <w:lang w:eastAsia="en-US"/>
        </w:rPr>
        <w:t xml:space="preserve"> comercial, es el </w:t>
      </w:r>
      <w:r w:rsidRPr="001E24D9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canal</w:t>
      </w:r>
      <w:r w:rsidRPr="001E24D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E24D9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temático más visto en jóvenes de 13-24 años, convirtiéndose en la tercera cadena más vista en esta horquilla de edad, </w:t>
      </w:r>
      <w:r w:rsidRPr="001E24D9">
        <w:rPr>
          <w:rFonts w:ascii="Arial" w:eastAsiaTheme="minorHAnsi" w:hAnsi="Arial" w:cs="Arial"/>
          <w:sz w:val="24"/>
          <w:szCs w:val="24"/>
          <w:lang w:eastAsia="en-US"/>
        </w:rPr>
        <w:t xml:space="preserve">con un 7,3% de </w:t>
      </w:r>
      <w:r w:rsidRPr="001E24D9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share</w:t>
      </w:r>
      <w:r w:rsidRPr="001E24D9">
        <w:rPr>
          <w:rFonts w:ascii="Arial" w:eastAsiaTheme="minorHAnsi" w:hAnsi="Arial" w:cs="Arial"/>
          <w:sz w:val="24"/>
          <w:szCs w:val="24"/>
          <w:lang w:eastAsia="en-US"/>
        </w:rPr>
        <w:t xml:space="preserve">. Tras él, </w:t>
      </w:r>
      <w:r w:rsidRPr="001E24D9">
        <w:rPr>
          <w:rFonts w:ascii="Arial" w:eastAsiaTheme="minorHAnsi" w:hAnsi="Arial" w:cs="Arial"/>
          <w:b/>
          <w:sz w:val="24"/>
          <w:szCs w:val="24"/>
          <w:lang w:eastAsia="en-US"/>
        </w:rPr>
        <w:t>Energy</w:t>
      </w:r>
      <w:r w:rsidRPr="001E24D9">
        <w:rPr>
          <w:rFonts w:ascii="Arial" w:eastAsiaTheme="minorHAnsi" w:hAnsi="Arial" w:cs="Arial"/>
          <w:sz w:val="24"/>
          <w:szCs w:val="24"/>
          <w:lang w:eastAsia="en-US"/>
        </w:rPr>
        <w:t xml:space="preserve"> (2%) sube al 2,3% en </w:t>
      </w:r>
      <w:r w:rsidRPr="001E24D9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target</w:t>
      </w:r>
      <w:r w:rsidRPr="001E24D9">
        <w:rPr>
          <w:rFonts w:ascii="Arial" w:eastAsiaTheme="minorHAnsi" w:hAnsi="Arial" w:cs="Arial"/>
          <w:sz w:val="24"/>
          <w:szCs w:val="24"/>
          <w:lang w:eastAsia="en-US"/>
        </w:rPr>
        <w:t xml:space="preserve"> comercial y </w:t>
      </w:r>
      <w:proofErr w:type="spellStart"/>
      <w:r w:rsidRPr="001E24D9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Divinity</w:t>
      </w:r>
      <w:proofErr w:type="spellEnd"/>
      <w:r w:rsidRPr="001E24D9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Pr="001E24D9">
        <w:rPr>
          <w:rFonts w:ascii="Arial" w:eastAsiaTheme="minorHAnsi" w:hAnsi="Arial" w:cs="Arial"/>
          <w:sz w:val="24"/>
          <w:szCs w:val="24"/>
          <w:lang w:eastAsia="en-US"/>
        </w:rPr>
        <w:t>(1,8%),</w:t>
      </w:r>
      <w:r w:rsidRPr="001E24D9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Pr="001E24D9">
        <w:rPr>
          <w:rFonts w:ascii="Arial" w:eastAsiaTheme="minorHAnsi" w:hAnsi="Arial" w:cs="Arial"/>
          <w:sz w:val="24"/>
          <w:szCs w:val="24"/>
          <w:lang w:eastAsia="en-US"/>
        </w:rPr>
        <w:t xml:space="preserve">con </w:t>
      </w:r>
      <w:r w:rsidR="00C96DA3">
        <w:rPr>
          <w:rFonts w:ascii="Arial" w:eastAsiaTheme="minorHAnsi" w:hAnsi="Arial" w:cs="Arial"/>
          <w:sz w:val="24"/>
          <w:szCs w:val="24"/>
          <w:lang w:eastAsia="en-US"/>
        </w:rPr>
        <w:t>un 1,9%</w:t>
      </w:r>
      <w:r w:rsidRPr="001E24D9">
        <w:rPr>
          <w:rFonts w:ascii="Arial" w:eastAsiaTheme="minorHAnsi" w:hAnsi="Arial" w:cs="Arial"/>
          <w:sz w:val="24"/>
          <w:szCs w:val="24"/>
          <w:lang w:eastAsia="en-US"/>
        </w:rPr>
        <w:t xml:space="preserve"> en mujeres de 16-44 años, mientras </w:t>
      </w:r>
      <w:r w:rsidRPr="001E24D9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Be </w:t>
      </w:r>
      <w:proofErr w:type="spellStart"/>
      <w:r w:rsidRPr="001E24D9">
        <w:rPr>
          <w:rFonts w:ascii="Arial" w:eastAsiaTheme="minorHAnsi" w:hAnsi="Arial" w:cs="Arial"/>
          <w:b/>
          <w:sz w:val="24"/>
          <w:szCs w:val="24"/>
          <w:lang w:eastAsia="en-US"/>
        </w:rPr>
        <w:t>Mad</w:t>
      </w:r>
      <w:proofErr w:type="spellEnd"/>
      <w:r w:rsidRPr="001E24D9">
        <w:rPr>
          <w:rFonts w:ascii="Arial" w:eastAsiaTheme="minorHAnsi" w:hAnsi="Arial" w:cs="Arial"/>
          <w:sz w:val="24"/>
          <w:szCs w:val="24"/>
          <w:lang w:eastAsia="en-US"/>
        </w:rPr>
        <w:t xml:space="preserve"> ha obtenido un 0,6% en total día y un 0,7% en hombres de 16 a 44 años. </w:t>
      </w:r>
    </w:p>
    <w:p w14:paraId="45D77395" w14:textId="77777777" w:rsidR="00091BF1" w:rsidRPr="001E24D9" w:rsidRDefault="00091BF1" w:rsidP="001E24D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65E010F" w14:textId="32D7CC51" w:rsidR="001E24D9" w:rsidRPr="001E24D9" w:rsidRDefault="001E24D9" w:rsidP="001E24D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E24D9">
        <w:rPr>
          <w:rFonts w:ascii="Arial" w:eastAsiaTheme="minorHAnsi" w:hAnsi="Arial" w:cs="Arial"/>
          <w:bCs/>
          <w:sz w:val="24"/>
          <w:szCs w:val="24"/>
          <w:lang w:eastAsia="en-US"/>
        </w:rPr>
        <w:t>Este mes,</w:t>
      </w:r>
      <w:r w:rsidRPr="001E24D9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Boing </w:t>
      </w:r>
      <w:r w:rsidR="00091BF1">
        <w:rPr>
          <w:rFonts w:ascii="Arial" w:eastAsiaTheme="minorHAnsi" w:hAnsi="Arial" w:cs="Arial"/>
          <w:sz w:val="24"/>
          <w:szCs w:val="24"/>
          <w:lang w:eastAsia="en-US"/>
        </w:rPr>
        <w:t>ha vuelto a liderar</w:t>
      </w:r>
      <w:r w:rsidRPr="001E24D9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la audiencia infantil en la televisión en abierto de nuestro país. </w:t>
      </w:r>
      <w:r w:rsidRPr="001E24D9">
        <w:rPr>
          <w:rFonts w:ascii="Arial" w:eastAsiaTheme="minorHAnsi" w:hAnsi="Arial" w:cs="Arial"/>
          <w:sz w:val="24"/>
          <w:szCs w:val="24"/>
          <w:lang w:eastAsia="en-US"/>
        </w:rPr>
        <w:t xml:space="preserve">Con un </w:t>
      </w:r>
      <w:r w:rsidRPr="001E24D9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12,2% de cuota de pantalla en niños de 4 a 12</w:t>
      </w:r>
      <w:r w:rsidR="00C96DA3">
        <w:rPr>
          <w:rFonts w:ascii="Arial" w:eastAsiaTheme="minorHAnsi" w:hAnsi="Arial" w:cs="Arial"/>
          <w:sz w:val="24"/>
          <w:szCs w:val="24"/>
          <w:lang w:eastAsia="en-US"/>
        </w:rPr>
        <w:t xml:space="preserve"> años, </w:t>
      </w:r>
      <w:r w:rsidR="00C96DA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du</w:t>
      </w:r>
      <w:r w:rsidRPr="001E24D9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plica a su inmediato competidor en la televisión comercial, Disney </w:t>
      </w:r>
      <w:proofErr w:type="spellStart"/>
      <w:r w:rsidRPr="001E24D9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Channel</w:t>
      </w:r>
      <w:proofErr w:type="spellEnd"/>
      <w:r w:rsidRPr="001E24D9">
        <w:rPr>
          <w:rFonts w:ascii="Arial" w:eastAsiaTheme="minorHAnsi" w:hAnsi="Arial" w:cs="Arial"/>
          <w:sz w:val="24"/>
          <w:szCs w:val="24"/>
          <w:lang w:eastAsia="en-US"/>
        </w:rPr>
        <w:t>, tanto en el dato absoluto mensual (1% vs 0,5%) como entre los niños (12,2</w:t>
      </w:r>
      <w:r w:rsidR="00DE2579">
        <w:rPr>
          <w:rFonts w:ascii="Arial" w:eastAsiaTheme="minorHAnsi" w:hAnsi="Arial" w:cs="Arial"/>
          <w:sz w:val="24"/>
          <w:szCs w:val="24"/>
          <w:lang w:eastAsia="en-US"/>
        </w:rPr>
        <w:t>%</w:t>
      </w:r>
      <w:r w:rsidRPr="001E24D9">
        <w:rPr>
          <w:rFonts w:ascii="Arial" w:eastAsiaTheme="minorHAnsi" w:hAnsi="Arial" w:cs="Arial"/>
          <w:sz w:val="24"/>
          <w:szCs w:val="24"/>
          <w:lang w:eastAsia="en-US"/>
        </w:rPr>
        <w:t xml:space="preserve"> vs 6%).</w:t>
      </w:r>
    </w:p>
    <w:p w14:paraId="01954C9C" w14:textId="77777777" w:rsidR="002D23D1" w:rsidRPr="000558FF" w:rsidRDefault="002D23D1" w:rsidP="00917EA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2D23D1" w:rsidRPr="000558FF" w:rsidSect="00EB2A1F">
      <w:footerReference w:type="default" r:id="rId9"/>
      <w:pgSz w:w="11906" w:h="16838"/>
      <w:pgMar w:top="1560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8E4C4" w14:textId="77777777" w:rsidR="00252B67" w:rsidRDefault="00252B67" w:rsidP="00AE7C8B">
      <w:pPr>
        <w:spacing w:after="0" w:line="240" w:lineRule="auto"/>
      </w:pPr>
      <w:r>
        <w:separator/>
      </w:r>
    </w:p>
  </w:endnote>
  <w:endnote w:type="continuationSeparator" w:id="0">
    <w:p w14:paraId="0BE22265" w14:textId="77777777" w:rsidR="00252B67" w:rsidRDefault="00252B67" w:rsidP="00AE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DF79" w14:textId="77777777" w:rsidR="00275F78" w:rsidRDefault="00275F78">
    <w:pPr>
      <w:pStyle w:val="Piedepgina"/>
    </w:pPr>
    <w:r w:rsidRPr="00AE7C8B">
      <w:rPr>
        <w:noProof/>
      </w:rPr>
      <w:drawing>
        <wp:anchor distT="0" distB="0" distL="114300" distR="114300" simplePos="0" relativeHeight="251660288" behindDoc="0" locked="0" layoutInCell="1" allowOverlap="1" wp14:anchorId="1F290AD4" wp14:editId="049135FE">
          <wp:simplePos x="0" y="0"/>
          <wp:positionH relativeFrom="page">
            <wp:posOffset>4728845</wp:posOffset>
          </wp:positionH>
          <wp:positionV relativeFrom="page">
            <wp:posOffset>10196830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C8B">
      <w:rPr>
        <w:noProof/>
      </w:rPr>
      <w:drawing>
        <wp:anchor distT="0" distB="0" distL="114300" distR="114300" simplePos="0" relativeHeight="251659264" behindDoc="0" locked="0" layoutInCell="1" allowOverlap="1" wp14:anchorId="51D115FB" wp14:editId="5D452DAD">
          <wp:simplePos x="0" y="0"/>
          <wp:positionH relativeFrom="margin">
            <wp:posOffset>4862928</wp:posOffset>
          </wp:positionH>
          <wp:positionV relativeFrom="page">
            <wp:posOffset>9834294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2A085" w14:textId="77777777" w:rsidR="00252B67" w:rsidRDefault="00252B67" w:rsidP="00AE7C8B">
      <w:pPr>
        <w:spacing w:after="0" w:line="240" w:lineRule="auto"/>
      </w:pPr>
      <w:r>
        <w:separator/>
      </w:r>
    </w:p>
  </w:footnote>
  <w:footnote w:type="continuationSeparator" w:id="0">
    <w:p w14:paraId="5C7DC229" w14:textId="77777777" w:rsidR="00252B67" w:rsidRDefault="00252B67" w:rsidP="00AE7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502F2"/>
    <w:multiLevelType w:val="hybridMultilevel"/>
    <w:tmpl w:val="54F840F6"/>
    <w:lvl w:ilvl="0" w:tplc="91C25B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647A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D69D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5A3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853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70BE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F472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645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22A2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ED04E54"/>
    <w:multiLevelType w:val="hybridMultilevel"/>
    <w:tmpl w:val="77F46296"/>
    <w:lvl w:ilvl="0" w:tplc="A14A01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DA57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4CA3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C088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F8D5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923D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5282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661D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BA8C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F5400F5"/>
    <w:multiLevelType w:val="hybridMultilevel"/>
    <w:tmpl w:val="94306586"/>
    <w:lvl w:ilvl="0" w:tplc="3E00E0F4">
      <w:start w:val="4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B4B8C"/>
    <w:multiLevelType w:val="hybridMultilevel"/>
    <w:tmpl w:val="029ED682"/>
    <w:lvl w:ilvl="0" w:tplc="EF4028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645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F831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CD9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38D8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EA8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CC6E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FC24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2AE8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BA34E47"/>
    <w:multiLevelType w:val="hybridMultilevel"/>
    <w:tmpl w:val="83B64E56"/>
    <w:lvl w:ilvl="0" w:tplc="C6B6C3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50C7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E441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4CFD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A6ED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48F1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0696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E2A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BED6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1D278F3"/>
    <w:multiLevelType w:val="hybridMultilevel"/>
    <w:tmpl w:val="B83C7C54"/>
    <w:lvl w:ilvl="0" w:tplc="0D303D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925F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4E48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1257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8057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1420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2C8B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020B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7EB2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0943A52"/>
    <w:multiLevelType w:val="hybridMultilevel"/>
    <w:tmpl w:val="4092A662"/>
    <w:lvl w:ilvl="0" w:tplc="81F28D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7C03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6642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7041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2A11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EC8F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666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9AEA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C8A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55B01D2"/>
    <w:multiLevelType w:val="hybridMultilevel"/>
    <w:tmpl w:val="0400C876"/>
    <w:lvl w:ilvl="0" w:tplc="0FC661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40A5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8BC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4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5221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76CE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0640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CE54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0A44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9172A93"/>
    <w:multiLevelType w:val="hybridMultilevel"/>
    <w:tmpl w:val="346693E0"/>
    <w:lvl w:ilvl="0" w:tplc="C354ECC8">
      <w:start w:val="3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72103"/>
    <w:multiLevelType w:val="hybridMultilevel"/>
    <w:tmpl w:val="3612B300"/>
    <w:lvl w:ilvl="0" w:tplc="B33CA4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CF5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C857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F627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70AE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B4BD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52E6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AAB2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326A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E060E92"/>
    <w:multiLevelType w:val="hybridMultilevel"/>
    <w:tmpl w:val="6658AF50"/>
    <w:lvl w:ilvl="0" w:tplc="0584F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60F2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5AAC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4EE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36CC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E423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02E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0AD8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A2B4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04F"/>
    <w:rsid w:val="00005267"/>
    <w:rsid w:val="0001123F"/>
    <w:rsid w:val="00034226"/>
    <w:rsid w:val="0005418C"/>
    <w:rsid w:val="000558FF"/>
    <w:rsid w:val="00064257"/>
    <w:rsid w:val="00075EA1"/>
    <w:rsid w:val="000861E8"/>
    <w:rsid w:val="00090ED4"/>
    <w:rsid w:val="00091BF1"/>
    <w:rsid w:val="00091D6F"/>
    <w:rsid w:val="0009692F"/>
    <w:rsid w:val="000B0EF3"/>
    <w:rsid w:val="000B7CE7"/>
    <w:rsid w:val="000C1A24"/>
    <w:rsid w:val="000D0736"/>
    <w:rsid w:val="000D2377"/>
    <w:rsid w:val="000E159E"/>
    <w:rsid w:val="000F11E7"/>
    <w:rsid w:val="00101ABF"/>
    <w:rsid w:val="00101BAA"/>
    <w:rsid w:val="0011067F"/>
    <w:rsid w:val="00121A78"/>
    <w:rsid w:val="001256D3"/>
    <w:rsid w:val="001261F7"/>
    <w:rsid w:val="001411CB"/>
    <w:rsid w:val="00144B97"/>
    <w:rsid w:val="00144FB0"/>
    <w:rsid w:val="001510C8"/>
    <w:rsid w:val="00155E07"/>
    <w:rsid w:val="00163020"/>
    <w:rsid w:val="00166F82"/>
    <w:rsid w:val="00174283"/>
    <w:rsid w:val="00174B3D"/>
    <w:rsid w:val="00190DD6"/>
    <w:rsid w:val="0019364A"/>
    <w:rsid w:val="001A6F3D"/>
    <w:rsid w:val="001B0D41"/>
    <w:rsid w:val="001B4E37"/>
    <w:rsid w:val="001B6234"/>
    <w:rsid w:val="001B7FF4"/>
    <w:rsid w:val="001C2FF2"/>
    <w:rsid w:val="001C523F"/>
    <w:rsid w:val="001C5988"/>
    <w:rsid w:val="001C65F2"/>
    <w:rsid w:val="001E01C3"/>
    <w:rsid w:val="001E24D9"/>
    <w:rsid w:val="001F5EB0"/>
    <w:rsid w:val="001F6C31"/>
    <w:rsid w:val="00202A6B"/>
    <w:rsid w:val="00211D42"/>
    <w:rsid w:val="002208A5"/>
    <w:rsid w:val="0022519E"/>
    <w:rsid w:val="00230212"/>
    <w:rsid w:val="002332A9"/>
    <w:rsid w:val="002344B9"/>
    <w:rsid w:val="00236B4A"/>
    <w:rsid w:val="00237021"/>
    <w:rsid w:val="002504B0"/>
    <w:rsid w:val="00251214"/>
    <w:rsid w:val="00252B67"/>
    <w:rsid w:val="0025516E"/>
    <w:rsid w:val="00255D29"/>
    <w:rsid w:val="002641E8"/>
    <w:rsid w:val="00270A6A"/>
    <w:rsid w:val="00271A7D"/>
    <w:rsid w:val="00272014"/>
    <w:rsid w:val="002730F7"/>
    <w:rsid w:val="00275F78"/>
    <w:rsid w:val="00276201"/>
    <w:rsid w:val="00277F59"/>
    <w:rsid w:val="00280E5F"/>
    <w:rsid w:val="00295F0D"/>
    <w:rsid w:val="002A26BA"/>
    <w:rsid w:val="002A6DA3"/>
    <w:rsid w:val="002B1577"/>
    <w:rsid w:val="002B1ABF"/>
    <w:rsid w:val="002B58B0"/>
    <w:rsid w:val="002C45DD"/>
    <w:rsid w:val="002D23D1"/>
    <w:rsid w:val="002E022A"/>
    <w:rsid w:val="002E1CBC"/>
    <w:rsid w:val="002E520F"/>
    <w:rsid w:val="002E62BD"/>
    <w:rsid w:val="002E72DA"/>
    <w:rsid w:val="002F78DB"/>
    <w:rsid w:val="00305399"/>
    <w:rsid w:val="00313A0E"/>
    <w:rsid w:val="00314CA5"/>
    <w:rsid w:val="00323C50"/>
    <w:rsid w:val="003266A3"/>
    <w:rsid w:val="00327F88"/>
    <w:rsid w:val="00330F3B"/>
    <w:rsid w:val="00332AD9"/>
    <w:rsid w:val="00333ADE"/>
    <w:rsid w:val="00337B71"/>
    <w:rsid w:val="00341A7F"/>
    <w:rsid w:val="00343DB8"/>
    <w:rsid w:val="00346144"/>
    <w:rsid w:val="00353276"/>
    <w:rsid w:val="00361139"/>
    <w:rsid w:val="00363E23"/>
    <w:rsid w:val="00364574"/>
    <w:rsid w:val="00366C49"/>
    <w:rsid w:val="00371C70"/>
    <w:rsid w:val="003733FF"/>
    <w:rsid w:val="0037639E"/>
    <w:rsid w:val="0037643E"/>
    <w:rsid w:val="003822C5"/>
    <w:rsid w:val="00384C7A"/>
    <w:rsid w:val="00384EA0"/>
    <w:rsid w:val="00393610"/>
    <w:rsid w:val="003975A3"/>
    <w:rsid w:val="003A1269"/>
    <w:rsid w:val="003A3D16"/>
    <w:rsid w:val="003B3723"/>
    <w:rsid w:val="003B3995"/>
    <w:rsid w:val="003B4A49"/>
    <w:rsid w:val="003B4B28"/>
    <w:rsid w:val="003C442A"/>
    <w:rsid w:val="003D08F6"/>
    <w:rsid w:val="003E05E6"/>
    <w:rsid w:val="003E3972"/>
    <w:rsid w:val="003E60D2"/>
    <w:rsid w:val="003F100A"/>
    <w:rsid w:val="003F3E33"/>
    <w:rsid w:val="003F4AA8"/>
    <w:rsid w:val="00401451"/>
    <w:rsid w:val="00401D98"/>
    <w:rsid w:val="00403C5C"/>
    <w:rsid w:val="004040A3"/>
    <w:rsid w:val="004067B7"/>
    <w:rsid w:val="004104A6"/>
    <w:rsid w:val="00415223"/>
    <w:rsid w:val="004215BE"/>
    <w:rsid w:val="00422ABF"/>
    <w:rsid w:val="00433D8F"/>
    <w:rsid w:val="00434543"/>
    <w:rsid w:val="00436F9C"/>
    <w:rsid w:val="00437F9A"/>
    <w:rsid w:val="0044112D"/>
    <w:rsid w:val="004414C2"/>
    <w:rsid w:val="004428C3"/>
    <w:rsid w:val="004462C2"/>
    <w:rsid w:val="004517ED"/>
    <w:rsid w:val="004533D7"/>
    <w:rsid w:val="00457950"/>
    <w:rsid w:val="0046262D"/>
    <w:rsid w:val="004702D8"/>
    <w:rsid w:val="00472A9B"/>
    <w:rsid w:val="00494478"/>
    <w:rsid w:val="0049463E"/>
    <w:rsid w:val="004A347A"/>
    <w:rsid w:val="004B474A"/>
    <w:rsid w:val="004B7A3D"/>
    <w:rsid w:val="004C25C6"/>
    <w:rsid w:val="004D288E"/>
    <w:rsid w:val="004E17A1"/>
    <w:rsid w:val="004E268E"/>
    <w:rsid w:val="004E2FD2"/>
    <w:rsid w:val="004E380E"/>
    <w:rsid w:val="004F0EF3"/>
    <w:rsid w:val="004F0F0D"/>
    <w:rsid w:val="004F110B"/>
    <w:rsid w:val="004F1A24"/>
    <w:rsid w:val="004F3B66"/>
    <w:rsid w:val="00500703"/>
    <w:rsid w:val="00501A0F"/>
    <w:rsid w:val="005104C8"/>
    <w:rsid w:val="00510591"/>
    <w:rsid w:val="00512143"/>
    <w:rsid w:val="00517E95"/>
    <w:rsid w:val="00520914"/>
    <w:rsid w:val="005228B3"/>
    <w:rsid w:val="005251B4"/>
    <w:rsid w:val="0052619A"/>
    <w:rsid w:val="005267CB"/>
    <w:rsid w:val="005338D4"/>
    <w:rsid w:val="005351A5"/>
    <w:rsid w:val="005414DC"/>
    <w:rsid w:val="00557475"/>
    <w:rsid w:val="005650CE"/>
    <w:rsid w:val="00567996"/>
    <w:rsid w:val="005825B4"/>
    <w:rsid w:val="00583AD0"/>
    <w:rsid w:val="00586CD1"/>
    <w:rsid w:val="005A100F"/>
    <w:rsid w:val="005A58CD"/>
    <w:rsid w:val="005A77F2"/>
    <w:rsid w:val="005A7EB5"/>
    <w:rsid w:val="005B13A0"/>
    <w:rsid w:val="005B304F"/>
    <w:rsid w:val="005B6AFA"/>
    <w:rsid w:val="005C11C7"/>
    <w:rsid w:val="005C4704"/>
    <w:rsid w:val="005D0647"/>
    <w:rsid w:val="005D7DED"/>
    <w:rsid w:val="005E2188"/>
    <w:rsid w:val="005E3247"/>
    <w:rsid w:val="005E4F11"/>
    <w:rsid w:val="005E58F5"/>
    <w:rsid w:val="005F4C55"/>
    <w:rsid w:val="005F5143"/>
    <w:rsid w:val="0060249B"/>
    <w:rsid w:val="00604383"/>
    <w:rsid w:val="00604FD2"/>
    <w:rsid w:val="00605FEB"/>
    <w:rsid w:val="00613666"/>
    <w:rsid w:val="006165E1"/>
    <w:rsid w:val="006168C7"/>
    <w:rsid w:val="0062068E"/>
    <w:rsid w:val="00630A4B"/>
    <w:rsid w:val="00642B59"/>
    <w:rsid w:val="00644D6A"/>
    <w:rsid w:val="0064565E"/>
    <w:rsid w:val="00646126"/>
    <w:rsid w:val="006563C6"/>
    <w:rsid w:val="00656FAA"/>
    <w:rsid w:val="006741CE"/>
    <w:rsid w:val="00674DA3"/>
    <w:rsid w:val="00681871"/>
    <w:rsid w:val="0068287A"/>
    <w:rsid w:val="00687714"/>
    <w:rsid w:val="00690DE3"/>
    <w:rsid w:val="00694CEF"/>
    <w:rsid w:val="006964DC"/>
    <w:rsid w:val="006971F5"/>
    <w:rsid w:val="006B0DD5"/>
    <w:rsid w:val="006B2D7B"/>
    <w:rsid w:val="006D5AE3"/>
    <w:rsid w:val="006E0C55"/>
    <w:rsid w:val="006E3D81"/>
    <w:rsid w:val="006F1427"/>
    <w:rsid w:val="006F31B0"/>
    <w:rsid w:val="00706B40"/>
    <w:rsid w:val="007148E6"/>
    <w:rsid w:val="00716709"/>
    <w:rsid w:val="00720F35"/>
    <w:rsid w:val="00721AC0"/>
    <w:rsid w:val="00734C50"/>
    <w:rsid w:val="00742582"/>
    <w:rsid w:val="00750AE4"/>
    <w:rsid w:val="007519EA"/>
    <w:rsid w:val="00751EE8"/>
    <w:rsid w:val="00760B82"/>
    <w:rsid w:val="00762DC3"/>
    <w:rsid w:val="00776742"/>
    <w:rsid w:val="007776AE"/>
    <w:rsid w:val="00782324"/>
    <w:rsid w:val="00783989"/>
    <w:rsid w:val="00790B67"/>
    <w:rsid w:val="007A7B73"/>
    <w:rsid w:val="007B5016"/>
    <w:rsid w:val="007D3F87"/>
    <w:rsid w:val="007E1453"/>
    <w:rsid w:val="007E388E"/>
    <w:rsid w:val="007E5E5F"/>
    <w:rsid w:val="007E711F"/>
    <w:rsid w:val="007F528B"/>
    <w:rsid w:val="007F5E44"/>
    <w:rsid w:val="008018F9"/>
    <w:rsid w:val="00803C1E"/>
    <w:rsid w:val="00803E98"/>
    <w:rsid w:val="00815966"/>
    <w:rsid w:val="0081630E"/>
    <w:rsid w:val="008207FA"/>
    <w:rsid w:val="00821270"/>
    <w:rsid w:val="00821F74"/>
    <w:rsid w:val="00823715"/>
    <w:rsid w:val="008251A6"/>
    <w:rsid w:val="00830B02"/>
    <w:rsid w:val="00835D14"/>
    <w:rsid w:val="0083769F"/>
    <w:rsid w:val="00842399"/>
    <w:rsid w:val="008442E7"/>
    <w:rsid w:val="008505B8"/>
    <w:rsid w:val="00852DDE"/>
    <w:rsid w:val="00853705"/>
    <w:rsid w:val="00864D2A"/>
    <w:rsid w:val="00871039"/>
    <w:rsid w:val="008760C3"/>
    <w:rsid w:val="0088136E"/>
    <w:rsid w:val="00881C18"/>
    <w:rsid w:val="008A01FA"/>
    <w:rsid w:val="008A05F2"/>
    <w:rsid w:val="008A2ABB"/>
    <w:rsid w:val="008A5ACB"/>
    <w:rsid w:val="008B5B6A"/>
    <w:rsid w:val="008B6ACF"/>
    <w:rsid w:val="008B70C1"/>
    <w:rsid w:val="008B71AF"/>
    <w:rsid w:val="008C0C64"/>
    <w:rsid w:val="008C299C"/>
    <w:rsid w:val="008C4DC0"/>
    <w:rsid w:val="008D2695"/>
    <w:rsid w:val="008D4BD7"/>
    <w:rsid w:val="008D69CE"/>
    <w:rsid w:val="008D6A79"/>
    <w:rsid w:val="008E1C9B"/>
    <w:rsid w:val="008E6FAA"/>
    <w:rsid w:val="0090262D"/>
    <w:rsid w:val="00905A20"/>
    <w:rsid w:val="00911798"/>
    <w:rsid w:val="00915D33"/>
    <w:rsid w:val="00917EAF"/>
    <w:rsid w:val="00925DBB"/>
    <w:rsid w:val="00933532"/>
    <w:rsid w:val="00935CF9"/>
    <w:rsid w:val="0093600D"/>
    <w:rsid w:val="00956291"/>
    <w:rsid w:val="009601E7"/>
    <w:rsid w:val="00973DB0"/>
    <w:rsid w:val="009760B3"/>
    <w:rsid w:val="009807D6"/>
    <w:rsid w:val="00990454"/>
    <w:rsid w:val="009A5D76"/>
    <w:rsid w:val="009B3EBF"/>
    <w:rsid w:val="009B54D4"/>
    <w:rsid w:val="009C3303"/>
    <w:rsid w:val="009C4A2D"/>
    <w:rsid w:val="009D2887"/>
    <w:rsid w:val="009D3849"/>
    <w:rsid w:val="009E091C"/>
    <w:rsid w:val="009E2658"/>
    <w:rsid w:val="009E43A1"/>
    <w:rsid w:val="009F0B7B"/>
    <w:rsid w:val="009F5C87"/>
    <w:rsid w:val="00A05FA0"/>
    <w:rsid w:val="00A07C31"/>
    <w:rsid w:val="00A11826"/>
    <w:rsid w:val="00A14B52"/>
    <w:rsid w:val="00A24BC4"/>
    <w:rsid w:val="00A24C51"/>
    <w:rsid w:val="00A3130B"/>
    <w:rsid w:val="00A36FCA"/>
    <w:rsid w:val="00A37391"/>
    <w:rsid w:val="00A37E77"/>
    <w:rsid w:val="00A408F2"/>
    <w:rsid w:val="00A50CCE"/>
    <w:rsid w:val="00A534DA"/>
    <w:rsid w:val="00A56625"/>
    <w:rsid w:val="00A65F97"/>
    <w:rsid w:val="00A7032B"/>
    <w:rsid w:val="00A779F5"/>
    <w:rsid w:val="00A90D19"/>
    <w:rsid w:val="00A92807"/>
    <w:rsid w:val="00A93475"/>
    <w:rsid w:val="00A94429"/>
    <w:rsid w:val="00A95F82"/>
    <w:rsid w:val="00A96967"/>
    <w:rsid w:val="00AA2833"/>
    <w:rsid w:val="00AB25C9"/>
    <w:rsid w:val="00AB39D7"/>
    <w:rsid w:val="00AB6AA4"/>
    <w:rsid w:val="00AC0DB0"/>
    <w:rsid w:val="00AD32EA"/>
    <w:rsid w:val="00AD4215"/>
    <w:rsid w:val="00AD4FC3"/>
    <w:rsid w:val="00AD592A"/>
    <w:rsid w:val="00AD7079"/>
    <w:rsid w:val="00AE4592"/>
    <w:rsid w:val="00AE7C8B"/>
    <w:rsid w:val="00AF6627"/>
    <w:rsid w:val="00AF6DB7"/>
    <w:rsid w:val="00B015DA"/>
    <w:rsid w:val="00B02080"/>
    <w:rsid w:val="00B060E1"/>
    <w:rsid w:val="00B11A6F"/>
    <w:rsid w:val="00B124E7"/>
    <w:rsid w:val="00B153D3"/>
    <w:rsid w:val="00B15C09"/>
    <w:rsid w:val="00B31242"/>
    <w:rsid w:val="00B315B9"/>
    <w:rsid w:val="00B53635"/>
    <w:rsid w:val="00B546F0"/>
    <w:rsid w:val="00B62835"/>
    <w:rsid w:val="00B628B0"/>
    <w:rsid w:val="00B66598"/>
    <w:rsid w:val="00B70167"/>
    <w:rsid w:val="00B70397"/>
    <w:rsid w:val="00B706BA"/>
    <w:rsid w:val="00B71F24"/>
    <w:rsid w:val="00B723DC"/>
    <w:rsid w:val="00B76E0D"/>
    <w:rsid w:val="00B86422"/>
    <w:rsid w:val="00BA15A5"/>
    <w:rsid w:val="00BB687E"/>
    <w:rsid w:val="00BD71C9"/>
    <w:rsid w:val="00BE0736"/>
    <w:rsid w:val="00BE26D7"/>
    <w:rsid w:val="00BE44A0"/>
    <w:rsid w:val="00BE6502"/>
    <w:rsid w:val="00BF022E"/>
    <w:rsid w:val="00BF1C55"/>
    <w:rsid w:val="00BF1FBD"/>
    <w:rsid w:val="00BF3BA7"/>
    <w:rsid w:val="00C02171"/>
    <w:rsid w:val="00C03C1A"/>
    <w:rsid w:val="00C03DA7"/>
    <w:rsid w:val="00C06340"/>
    <w:rsid w:val="00C07375"/>
    <w:rsid w:val="00C07650"/>
    <w:rsid w:val="00C12124"/>
    <w:rsid w:val="00C1311A"/>
    <w:rsid w:val="00C14978"/>
    <w:rsid w:val="00C2355F"/>
    <w:rsid w:val="00C254F6"/>
    <w:rsid w:val="00C326B7"/>
    <w:rsid w:val="00C36E95"/>
    <w:rsid w:val="00C548EA"/>
    <w:rsid w:val="00C57360"/>
    <w:rsid w:val="00C67F09"/>
    <w:rsid w:val="00C706D4"/>
    <w:rsid w:val="00C70AA3"/>
    <w:rsid w:val="00C82741"/>
    <w:rsid w:val="00C8322D"/>
    <w:rsid w:val="00C83AEA"/>
    <w:rsid w:val="00C908B2"/>
    <w:rsid w:val="00C91C79"/>
    <w:rsid w:val="00C922C8"/>
    <w:rsid w:val="00C955C0"/>
    <w:rsid w:val="00C96DA3"/>
    <w:rsid w:val="00CA6EB3"/>
    <w:rsid w:val="00CB10F9"/>
    <w:rsid w:val="00CB25A9"/>
    <w:rsid w:val="00CB2F78"/>
    <w:rsid w:val="00CC5F7A"/>
    <w:rsid w:val="00CD5198"/>
    <w:rsid w:val="00CD6518"/>
    <w:rsid w:val="00CE119B"/>
    <w:rsid w:val="00CE5A70"/>
    <w:rsid w:val="00CE6D20"/>
    <w:rsid w:val="00CE77A8"/>
    <w:rsid w:val="00CE7D32"/>
    <w:rsid w:val="00CF0C47"/>
    <w:rsid w:val="00CF57A4"/>
    <w:rsid w:val="00CF5C75"/>
    <w:rsid w:val="00D05368"/>
    <w:rsid w:val="00D07755"/>
    <w:rsid w:val="00D156DC"/>
    <w:rsid w:val="00D22F44"/>
    <w:rsid w:val="00D237DC"/>
    <w:rsid w:val="00D24619"/>
    <w:rsid w:val="00D4235F"/>
    <w:rsid w:val="00D44340"/>
    <w:rsid w:val="00D44A22"/>
    <w:rsid w:val="00D44EE2"/>
    <w:rsid w:val="00D453EF"/>
    <w:rsid w:val="00D46B25"/>
    <w:rsid w:val="00D51E0C"/>
    <w:rsid w:val="00D52E7B"/>
    <w:rsid w:val="00D53487"/>
    <w:rsid w:val="00D6214E"/>
    <w:rsid w:val="00D62AC8"/>
    <w:rsid w:val="00D6721D"/>
    <w:rsid w:val="00D717B4"/>
    <w:rsid w:val="00D759CA"/>
    <w:rsid w:val="00D76080"/>
    <w:rsid w:val="00D760C4"/>
    <w:rsid w:val="00D77098"/>
    <w:rsid w:val="00D80640"/>
    <w:rsid w:val="00D82B74"/>
    <w:rsid w:val="00D84D5A"/>
    <w:rsid w:val="00D946D3"/>
    <w:rsid w:val="00D95341"/>
    <w:rsid w:val="00DB0FDD"/>
    <w:rsid w:val="00DB16DE"/>
    <w:rsid w:val="00DB302E"/>
    <w:rsid w:val="00DB3AB3"/>
    <w:rsid w:val="00DB473E"/>
    <w:rsid w:val="00DC0356"/>
    <w:rsid w:val="00DC4103"/>
    <w:rsid w:val="00DC6F8B"/>
    <w:rsid w:val="00DD0E95"/>
    <w:rsid w:val="00DD1529"/>
    <w:rsid w:val="00DD3D5E"/>
    <w:rsid w:val="00DD4634"/>
    <w:rsid w:val="00DD5B82"/>
    <w:rsid w:val="00DD5DC0"/>
    <w:rsid w:val="00DE2579"/>
    <w:rsid w:val="00DE2D5D"/>
    <w:rsid w:val="00DE3FFD"/>
    <w:rsid w:val="00DF45F4"/>
    <w:rsid w:val="00DF6B8A"/>
    <w:rsid w:val="00E10D9E"/>
    <w:rsid w:val="00E21800"/>
    <w:rsid w:val="00E221B3"/>
    <w:rsid w:val="00E24C83"/>
    <w:rsid w:val="00E27339"/>
    <w:rsid w:val="00E315F2"/>
    <w:rsid w:val="00E331AD"/>
    <w:rsid w:val="00E371A4"/>
    <w:rsid w:val="00E37CD1"/>
    <w:rsid w:val="00E44198"/>
    <w:rsid w:val="00E45AA7"/>
    <w:rsid w:val="00E475B6"/>
    <w:rsid w:val="00E54B4D"/>
    <w:rsid w:val="00E83AF0"/>
    <w:rsid w:val="00E84696"/>
    <w:rsid w:val="00E84FE0"/>
    <w:rsid w:val="00E96D37"/>
    <w:rsid w:val="00E9730D"/>
    <w:rsid w:val="00EA36C3"/>
    <w:rsid w:val="00EA50DF"/>
    <w:rsid w:val="00EA5322"/>
    <w:rsid w:val="00EB0542"/>
    <w:rsid w:val="00EB2A1F"/>
    <w:rsid w:val="00EB5B6E"/>
    <w:rsid w:val="00EC3E27"/>
    <w:rsid w:val="00ED11F8"/>
    <w:rsid w:val="00ED1784"/>
    <w:rsid w:val="00ED6652"/>
    <w:rsid w:val="00ED69DA"/>
    <w:rsid w:val="00ED7DBE"/>
    <w:rsid w:val="00EE01A0"/>
    <w:rsid w:val="00EE1384"/>
    <w:rsid w:val="00EE30DA"/>
    <w:rsid w:val="00EE536A"/>
    <w:rsid w:val="00EE56CC"/>
    <w:rsid w:val="00EE7307"/>
    <w:rsid w:val="00EF013A"/>
    <w:rsid w:val="00EF19F4"/>
    <w:rsid w:val="00EF241D"/>
    <w:rsid w:val="00EF252D"/>
    <w:rsid w:val="00EF26CB"/>
    <w:rsid w:val="00EF3938"/>
    <w:rsid w:val="00F01F0F"/>
    <w:rsid w:val="00F0266E"/>
    <w:rsid w:val="00F035EC"/>
    <w:rsid w:val="00F1285F"/>
    <w:rsid w:val="00F12F92"/>
    <w:rsid w:val="00F1765C"/>
    <w:rsid w:val="00F1770E"/>
    <w:rsid w:val="00F2117F"/>
    <w:rsid w:val="00F21DF9"/>
    <w:rsid w:val="00F31B9A"/>
    <w:rsid w:val="00F371A3"/>
    <w:rsid w:val="00F41AC0"/>
    <w:rsid w:val="00F5167D"/>
    <w:rsid w:val="00F51BA2"/>
    <w:rsid w:val="00F52CDE"/>
    <w:rsid w:val="00F530A6"/>
    <w:rsid w:val="00F57389"/>
    <w:rsid w:val="00F60624"/>
    <w:rsid w:val="00F60E68"/>
    <w:rsid w:val="00F64E46"/>
    <w:rsid w:val="00F7389E"/>
    <w:rsid w:val="00F83B8B"/>
    <w:rsid w:val="00F874F3"/>
    <w:rsid w:val="00FA6827"/>
    <w:rsid w:val="00FB0E78"/>
    <w:rsid w:val="00FB2134"/>
    <w:rsid w:val="00FB7CA1"/>
    <w:rsid w:val="00FC252E"/>
    <w:rsid w:val="00FC61A0"/>
    <w:rsid w:val="00FC7A43"/>
    <w:rsid w:val="00FF3450"/>
    <w:rsid w:val="00FF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61FD"/>
  <w15:docId w15:val="{9D8476C6-236E-48DA-92AB-773737E9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5B6A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5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E4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C8B"/>
  </w:style>
  <w:style w:type="paragraph" w:styleId="Piedepgina">
    <w:name w:val="footer"/>
    <w:basedOn w:val="Normal"/>
    <w:link w:val="Piedepgina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9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9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178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5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4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51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0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01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019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365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07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69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65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93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15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64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673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3737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26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532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8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05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74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13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74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37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07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40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00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914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450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2777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86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47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98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74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92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31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867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90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81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727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49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86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433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2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92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1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96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2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7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F57BA-ECAA-4EC8-B34E-8F6D532C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1364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Salvador Alonso Velazquez</dc:creator>
  <cp:lastModifiedBy>Cristina Ocaña Gonzalez</cp:lastModifiedBy>
  <cp:revision>3</cp:revision>
  <cp:lastPrinted>2021-05-31T10:09:00Z</cp:lastPrinted>
  <dcterms:created xsi:type="dcterms:W3CDTF">2021-06-01T07:47:00Z</dcterms:created>
  <dcterms:modified xsi:type="dcterms:W3CDTF">2021-06-01T08:01:00Z</dcterms:modified>
</cp:coreProperties>
</file>