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2DD7AC49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D7F8C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A72DB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98210BF" w14:textId="3D80874D" w:rsidR="00FD7F8C" w:rsidRDefault="001B285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proofErr w:type="spellStart"/>
      <w:r w:rsidR="00FD7F8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Adú</w:t>
      </w:r>
      <w:proofErr w:type="spellEnd"/>
      <w:r w:rsidR="00FD7F8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 lidera su franja dominical con los espectadores jóvenes como principales seguidores (</w:t>
      </w:r>
      <w:r w:rsidR="003C4345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19,5%</w:t>
      </w:r>
      <w:r w:rsidR="00FD7F8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)</w:t>
      </w:r>
    </w:p>
    <w:p w14:paraId="06524F03" w14:textId="77777777" w:rsidR="000F6AFC" w:rsidRDefault="000F6A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8BC9C8B" w14:textId="2BD178BF" w:rsidR="00DF4026" w:rsidRDefault="00DF4026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411E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película de Telecinco Cinema </w:t>
      </w:r>
      <w:r w:rsidR="00A55B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(14,6% y 2M) </w:t>
      </w:r>
      <w:r w:rsidR="00411E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situó como 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</w:t>
      </w:r>
      <w:r w:rsidR="00411E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 largometraje </w:t>
      </w:r>
      <w:r w:rsidR="009C67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emitido en Telecinco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mejor audiencia de la temporada</w:t>
      </w:r>
      <w:r w:rsidR="00411E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C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1,3</w:t>
      </w:r>
      <w:r w:rsidR="00E91B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en </w:t>
      </w:r>
      <w:proofErr w:type="gramStart"/>
      <w:r w:rsidR="008769E5" w:rsidRPr="006F43A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15,9%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frente a la bajada de </w:t>
      </w:r>
      <w:r w:rsidR="003F56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5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puntos de la oferta de Antena 3</w:t>
      </w:r>
      <w:r w:rsidR="003F56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(9,2%)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cuyo público más afín </w:t>
      </w:r>
      <w:r w:rsidR="00411E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mayor de 55 años (</w:t>
      </w:r>
      <w:r w:rsidR="003F56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</w:p>
    <w:p w14:paraId="4EBEF731" w14:textId="2C1AE782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19F77BE" w14:textId="6834265E" w:rsidR="00865EEC" w:rsidRDefault="00E91B9E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346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(6,3%) se impuso a La Sexta (5,3%) con su </w:t>
      </w:r>
      <w:r w:rsidR="00222B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</w:t>
      </w:r>
      <w:r w:rsidR="00346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 domingo del año,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su mejor </w:t>
      </w:r>
      <w:r w:rsidRPr="00E91B9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domingo de</w:t>
      </w:r>
      <w:r w:rsidR="00346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2021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(6</w:t>
      </w:r>
      <w:r w:rsidR="00DF40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="00346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duplicó a su rival en el </w:t>
      </w:r>
      <w:r w:rsidR="003C4345" w:rsidRPr="003C434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3C4345" w:rsidRPr="003C434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34621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346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(10,8% vs. </w:t>
      </w:r>
      <w:r w:rsidR="003C43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3,8%)</w:t>
      </w:r>
      <w:r w:rsidR="00346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gracias a los buenos resultados de ‘Planeta Calleja’ (7,8%) y </w:t>
      </w:r>
      <w:r w:rsidR="003C43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‘Cuarto Milenio’ (9,1%)</w:t>
      </w:r>
    </w:p>
    <w:p w14:paraId="36521E9D" w14:textId="77777777" w:rsidR="00865EEC" w:rsidRDefault="00865EE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58418D" w14:textId="1A3D98F0" w:rsidR="00710EB4" w:rsidRDefault="004858F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3F562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9A23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espectadores y un </w:t>
      </w:r>
      <w:r w:rsidR="003F5629">
        <w:rPr>
          <w:rFonts w:ascii="Arial" w:eastAsia="Times New Roman" w:hAnsi="Arial" w:cs="Arial"/>
          <w:b/>
          <w:sz w:val="24"/>
          <w:szCs w:val="24"/>
          <w:lang w:eastAsia="es-ES"/>
        </w:rPr>
        <w:t>14,6</w:t>
      </w:r>
      <w:r w:rsidRPr="009A23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9A237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F56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arroparon el estreno de la película de Telecinco Cinema </w:t>
      </w:r>
      <w:r w:rsidR="003F5629" w:rsidRPr="00411E0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3F5629" w:rsidRPr="00411E0E">
        <w:rPr>
          <w:rFonts w:ascii="Arial" w:eastAsia="Times New Roman" w:hAnsi="Arial" w:cs="Arial"/>
          <w:b/>
          <w:sz w:val="24"/>
          <w:szCs w:val="24"/>
          <w:lang w:eastAsia="es-ES"/>
        </w:rPr>
        <w:t>Adú</w:t>
      </w:r>
      <w:proofErr w:type="spellEnd"/>
      <w:r w:rsidR="003F5629" w:rsidRPr="00411E0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F56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convirtiéndose en el </w:t>
      </w:r>
      <w:r w:rsidR="003F5629" w:rsidRPr="00411E0E">
        <w:rPr>
          <w:rFonts w:ascii="Arial" w:eastAsia="Times New Roman" w:hAnsi="Arial" w:cs="Arial"/>
          <w:b/>
          <w:sz w:val="24"/>
          <w:szCs w:val="24"/>
          <w:lang w:eastAsia="es-ES"/>
        </w:rPr>
        <w:t>segundo largometraje emitido en Telecinco más visto de la temporada</w:t>
      </w:r>
      <w:r w:rsidR="003F56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Lideró su franja de emisión y creció 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906F98" w:rsidRPr="009206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3F5629">
        <w:rPr>
          <w:rFonts w:ascii="Arial" w:eastAsia="Times New Roman" w:hAnsi="Arial" w:cs="Arial"/>
          <w:b/>
          <w:sz w:val="24"/>
          <w:szCs w:val="24"/>
          <w:lang w:eastAsia="es-ES"/>
        </w:rPr>
        <w:t>15,9</w:t>
      </w:r>
      <w:r w:rsidR="00906F98" w:rsidRPr="009206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 </w:t>
      </w:r>
      <w:proofErr w:type="gramStart"/>
      <w:r w:rsidR="00906F98" w:rsidRPr="009206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906F98" w:rsidRPr="009206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sus mayores seguidores entre los espectadores de </w:t>
      </w:r>
      <w:r w:rsidR="00DC051A"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DC051A">
        <w:rPr>
          <w:rFonts w:ascii="Arial" w:eastAsia="Times New Roman" w:hAnsi="Arial" w:cs="Arial"/>
          <w:bCs/>
          <w:sz w:val="24"/>
          <w:szCs w:val="24"/>
          <w:lang w:eastAsia="es-ES"/>
        </w:rPr>
        <w:t>34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 (</w:t>
      </w:r>
      <w:r w:rsidR="003F5629">
        <w:rPr>
          <w:rFonts w:ascii="Arial" w:eastAsia="Times New Roman" w:hAnsi="Arial" w:cs="Arial"/>
          <w:bCs/>
          <w:sz w:val="24"/>
          <w:szCs w:val="24"/>
          <w:lang w:eastAsia="es-ES"/>
        </w:rPr>
        <w:t>19,5</w:t>
      </w:r>
      <w:r w:rsidR="00DC051A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DC05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F5629">
        <w:rPr>
          <w:rFonts w:ascii="Arial" w:eastAsia="Times New Roman" w:hAnsi="Arial" w:cs="Arial"/>
          <w:bCs/>
          <w:sz w:val="24"/>
          <w:szCs w:val="24"/>
          <w:lang w:eastAsia="es-ES"/>
        </w:rPr>
        <w:t>el doble q</w:t>
      </w:r>
      <w:r w:rsidR="00DC051A">
        <w:rPr>
          <w:rFonts w:ascii="Arial" w:eastAsia="Times New Roman" w:hAnsi="Arial" w:cs="Arial"/>
          <w:bCs/>
          <w:sz w:val="24"/>
          <w:szCs w:val="24"/>
          <w:lang w:eastAsia="es-ES"/>
        </w:rPr>
        <w:t>ue la oferta de Antena 3 en la franja, en este parámetro (</w:t>
      </w:r>
      <w:r w:rsidR="003F5629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710E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F562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10EB4">
        <w:rPr>
          <w:rFonts w:ascii="Arial" w:eastAsia="Times New Roman" w:hAnsi="Arial" w:cs="Arial"/>
          <w:bCs/>
          <w:sz w:val="24"/>
          <w:szCs w:val="24"/>
          <w:lang w:eastAsia="es-ES"/>
        </w:rPr>
        <w:t>%), cuyo público más afín fue el mayor de 55 años (</w:t>
      </w:r>
      <w:r w:rsidR="003F5629">
        <w:rPr>
          <w:rFonts w:ascii="Arial" w:eastAsia="Times New Roman" w:hAnsi="Arial" w:cs="Arial"/>
          <w:bCs/>
          <w:sz w:val="24"/>
          <w:szCs w:val="24"/>
          <w:lang w:eastAsia="es-ES"/>
        </w:rPr>
        <w:t>21</w:t>
      </w:r>
      <w:r w:rsidR="00710EB4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36823BB" w14:textId="77777777" w:rsidR="00710EB4" w:rsidRDefault="00710EB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E1F4BA" w14:textId="2143DDAB" w:rsidR="00906F98" w:rsidRDefault="00710EB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10EB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3F5629">
        <w:rPr>
          <w:rFonts w:ascii="Arial" w:eastAsia="Times New Roman" w:hAnsi="Arial" w:cs="Arial"/>
          <w:b/>
          <w:sz w:val="24"/>
          <w:szCs w:val="24"/>
          <w:lang w:eastAsia="es-ES"/>
        </w:rPr>
        <w:t>Adú</w:t>
      </w:r>
      <w:proofErr w:type="spellEnd"/>
      <w:r w:rsidRPr="00710EB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uperó su media nacional en los mercados regionales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Andalucía (</w:t>
      </w:r>
      <w:r w:rsidR="008022EA"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022E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8022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Canarias (17,6%), Euskadi (16,2%),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Valencia (</w:t>
      </w:r>
      <w:r w:rsidR="008022EA"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022E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8022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Murcia (</w:t>
      </w:r>
      <w:r w:rsidR="008022EA">
        <w:rPr>
          <w:rFonts w:ascii="Arial" w:eastAsia="Times New Roman" w:hAnsi="Arial" w:cs="Arial"/>
          <w:bCs/>
          <w:sz w:val="24"/>
          <w:szCs w:val="24"/>
          <w:lang w:eastAsia="es-ES"/>
        </w:rPr>
        <w:t>14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022E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8022E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D1574E1" w14:textId="4079452F" w:rsidR="00906F98" w:rsidRDefault="00906F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E873AE" w14:textId="1414DB38" w:rsidR="00B83A31" w:rsidRDefault="008022EA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e</w:t>
      </w:r>
      <w:r w:rsidR="00B83A31">
        <w:rPr>
          <w:rFonts w:ascii="Arial" w:eastAsia="Times New Roman" w:hAnsi="Arial" w:cs="Arial"/>
          <w:bCs/>
          <w:sz w:val="24"/>
          <w:szCs w:val="24"/>
          <w:lang w:eastAsia="es-ES"/>
        </w:rPr>
        <w:t>ntre el resto de los liderazgos del día en Telecinco también destac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 w:rsidR="00B83A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83A31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B83A31">
        <w:rPr>
          <w:rFonts w:ascii="Arial" w:eastAsia="Times New Roman" w:hAnsi="Arial" w:cs="Arial"/>
          <w:b/>
          <w:sz w:val="24"/>
          <w:szCs w:val="24"/>
          <w:lang w:eastAsia="es-ES"/>
        </w:rPr>
        <w:t>Socialite</w:t>
      </w:r>
      <w:proofErr w:type="spellEnd"/>
      <w:r w:rsidR="00B83A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83A31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B83A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="00B83A31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B83A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83A3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83A31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83A31">
        <w:rPr>
          <w:rFonts w:ascii="Arial" w:eastAsia="Times New Roman" w:hAnsi="Arial" w:cs="Arial"/>
          <w:bCs/>
          <w:sz w:val="24"/>
          <w:szCs w:val="24"/>
          <w:lang w:eastAsia="es-ES"/>
        </w:rPr>
        <w:t>M) al superar el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1,4</w:t>
      </w:r>
      <w:r w:rsidR="00B83A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 en su franja.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8022EA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(12,4% y 1,4M), por encima del 11,5% de su rival en la banda de emisión.</w:t>
      </w:r>
    </w:p>
    <w:p w14:paraId="7BAAA0F1" w14:textId="77777777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590A0A" w14:textId="43C9717B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>Telecinco fue la cadena más vista del domingo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8022E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022E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Lideró las franjas 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12,7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8022EA">
        <w:rPr>
          <w:rFonts w:ascii="Arial" w:eastAsia="Times New Roman" w:hAnsi="Arial" w:cs="Arial"/>
          <w:bCs/>
          <w:sz w:val="24"/>
          <w:szCs w:val="24"/>
          <w:lang w:eastAsia="es-ES"/>
        </w:rPr>
        <w:t>13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2C61F9" w:rsidRPr="002C61F9">
        <w:rPr>
          <w:rFonts w:ascii="Arial" w:eastAsia="Times New Roman" w:hAnsi="Arial" w:cs="Arial"/>
          <w:b/>
          <w:sz w:val="24"/>
          <w:szCs w:val="24"/>
          <w:lang w:eastAsia="es-ES"/>
        </w:rPr>
        <w:t>la tarde</w:t>
      </w:r>
      <w:r w:rsidR="002C61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13,2% </w:t>
      </w:r>
      <w:r w:rsidR="00654A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2C61F9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C61F9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654A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se alzó con el triunfo del </w:t>
      </w:r>
      <w:proofErr w:type="gramStart"/>
      <w:r w:rsidRPr="00B83A3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un</w:t>
      </w:r>
      <w:r w:rsidR="007140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</w:t>
      </w:r>
      <w:r w:rsidR="002C61F9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140A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C61F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140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cuota de pantalla frente al </w:t>
      </w:r>
      <w:r w:rsidR="002C61F9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7140A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C61F9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7140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B5EB441" w14:textId="77777777" w:rsidR="002C3349" w:rsidRPr="002C3349" w:rsidRDefault="002C3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1FF194FC" w14:textId="354B18F3" w:rsidR="00654AEB" w:rsidRPr="002C3349" w:rsidRDefault="002C3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2C3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Cuatro </w:t>
      </w:r>
      <w:r w:rsidR="00411E0E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(6,3%) iguala </w:t>
      </w:r>
      <w:r w:rsidRPr="002C3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su </w:t>
      </w:r>
      <w:r w:rsidR="0075268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segundo </w:t>
      </w:r>
      <w:r w:rsidRPr="002C3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mejor </w:t>
      </w:r>
      <w:r w:rsidR="00411E0E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d</w:t>
      </w:r>
      <w:r w:rsidRPr="002C3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omingo del año</w:t>
      </w:r>
      <w:r w:rsidR="00411E0E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con 1 punto de ventaja sobre La Sexta (5,3%)</w:t>
      </w:r>
    </w:p>
    <w:p w14:paraId="5190B72D" w14:textId="43E0163F" w:rsidR="00223602" w:rsidRDefault="00411E0E" w:rsidP="0075268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</w:t>
      </w:r>
      <w:r w:rsidR="009C67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continuó ayer </w:t>
      </w:r>
      <w:r w:rsidR="00DE78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estela de evolución al alza en sus audiencias con una nueva </w:t>
      </w:r>
      <w:r w:rsidR="002236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jornada cargada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hitos.</w:t>
      </w:r>
      <w:r w:rsidR="002236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total día, la segunda cadena de Mediaset España anotó su </w:t>
      </w:r>
      <w:r w:rsidRPr="00411E0E">
        <w:rPr>
          <w:rFonts w:ascii="Arial" w:eastAsia="Times New Roman" w:hAnsi="Arial" w:cs="Arial"/>
          <w:b/>
          <w:sz w:val="24"/>
          <w:szCs w:val="24"/>
          <w:lang w:eastAsia="es-ES"/>
        </w:rPr>
        <w:t>segundo mejor domingo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6,3%, situándose por delante de La Sexta (5,3%)</w:t>
      </w:r>
      <w:r w:rsidR="00222BB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B0054C9" w14:textId="06C23EFD" w:rsidR="00DE785E" w:rsidRDefault="00DE785E" w:rsidP="0075268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F72A0D" w14:textId="79153320" w:rsidR="00222BBA" w:rsidRDefault="00222BBA" w:rsidP="0075268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D573CE0" w14:textId="56C726BB" w:rsidR="00222BBA" w:rsidRDefault="00222BBA" w:rsidP="0075268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25A71B" w14:textId="0C88821D" w:rsidR="00222BBA" w:rsidRDefault="00222BBA" w:rsidP="0075268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BF45B10" w14:textId="18566E6D" w:rsidR="00222BBA" w:rsidRDefault="00222BBA" w:rsidP="0075268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D6F795" w14:textId="3FE4DA82" w:rsidR="00222BBA" w:rsidRDefault="00222BBA" w:rsidP="0075268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9F7CBA" w14:textId="77777777" w:rsidR="00222BBA" w:rsidRDefault="00222BBA" w:rsidP="0075268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A6FD6F" w14:textId="48D8BF77" w:rsidR="00752687" w:rsidRDefault="00223602" w:rsidP="0075268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Alcanzó su </w:t>
      </w:r>
      <w:r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Pr="0022360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>domingo del año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52687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 6,2% de </w:t>
      </w:r>
      <w:r w:rsidRPr="00555C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752687" w:rsidRPr="00654AEB">
        <w:rPr>
          <w:rFonts w:ascii="Arial" w:eastAsia="Times New Roman" w:hAnsi="Arial" w:cs="Arial"/>
          <w:b/>
          <w:sz w:val="24"/>
          <w:szCs w:val="24"/>
          <w:lang w:eastAsia="es-ES"/>
        </w:rPr>
        <w:t>‘Planeta Calleja’</w:t>
      </w:r>
      <w:r w:rsidR="008E14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(7,8% y 1,2M)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que</w:t>
      </w:r>
      <w:r w:rsidR="008E14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creció al 12,5%</w:t>
      </w:r>
      <w:r w:rsidR="00752687" w:rsidRPr="00654A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proofErr w:type="gramStart"/>
      <w:r w:rsidR="00752687" w:rsidRPr="00654AE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752687" w:rsidRPr="00654A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8E14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E1405" w:rsidRPr="008E1405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E1405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ventajó en más de </w:t>
      </w:r>
      <w:r w:rsidR="008E140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 a la oferta de La Sexta en su franja (</w:t>
      </w:r>
      <w:r w:rsidR="008E140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E140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752687" w:rsidRPr="007526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4477086" w14:textId="79257929" w:rsidR="00752687" w:rsidRDefault="0075268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5FF445" w14:textId="66B5B83A" w:rsidR="00555C56" w:rsidRDefault="0022360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236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Duplicó a La Sexta en </w:t>
      </w:r>
      <w:r w:rsidRPr="0022360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22360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(10,8% vs.3,8%) con </w:t>
      </w:r>
      <w:r w:rsidR="00555C56"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8E1405">
        <w:rPr>
          <w:rFonts w:ascii="Arial" w:eastAsia="Times New Roman" w:hAnsi="Arial" w:cs="Arial"/>
          <w:bCs/>
          <w:sz w:val="24"/>
          <w:szCs w:val="24"/>
          <w:lang w:eastAsia="es-ES"/>
        </w:rPr>
        <w:t>9,1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E1405">
        <w:rPr>
          <w:rFonts w:ascii="Arial" w:eastAsia="Times New Roman" w:hAnsi="Arial" w:cs="Arial"/>
          <w:bCs/>
          <w:sz w:val="24"/>
          <w:szCs w:val="24"/>
          <w:lang w:eastAsia="es-ES"/>
        </w:rPr>
        <w:t>852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obtener</w:t>
      </w:r>
      <w:r w:rsidR="008E14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="008E1405" w:rsidRPr="002236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8E1405" w:rsidRPr="0022360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8E1405" w:rsidRPr="002236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8E14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multiplicar por dos 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>la oferta de La Sexta en su franja (</w:t>
      </w:r>
      <w:r w:rsidR="008E140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,4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C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 w:rsidR="008E14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</w:t>
      </w:r>
      <w:proofErr w:type="gramStart"/>
      <w:r w:rsidR="00555C56" w:rsidRPr="009206A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</w:t>
      </w:r>
      <w:r w:rsidR="008E1405">
        <w:rPr>
          <w:rFonts w:ascii="Arial" w:eastAsia="Times New Roman" w:hAnsi="Arial" w:cs="Arial"/>
          <w:bCs/>
          <w:sz w:val="24"/>
          <w:szCs w:val="24"/>
          <w:lang w:eastAsia="es-ES"/>
        </w:rPr>
        <w:t>obtener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E1405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E1405">
        <w:rPr>
          <w:rFonts w:ascii="Arial" w:eastAsia="Times New Roman" w:hAnsi="Arial" w:cs="Arial"/>
          <w:bCs/>
          <w:sz w:val="24"/>
          <w:szCs w:val="24"/>
          <w:lang w:eastAsia="es-ES"/>
        </w:rPr>
        <w:t>10,6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555C56" w:rsidRPr="00555C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A434A02" w14:textId="77777777" w:rsidR="00555C56" w:rsidRDefault="00555C5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A36D51" w14:textId="38CE8555" w:rsidR="00B83A31" w:rsidRDefault="00DE785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r w:rsidRPr="00346213">
        <w:rPr>
          <w:rFonts w:ascii="Arial" w:eastAsia="Times New Roman" w:hAnsi="Arial" w:cs="Arial"/>
          <w:b/>
          <w:sz w:val="24"/>
          <w:szCs w:val="24"/>
          <w:lang w:eastAsia="es-ES"/>
        </w:rPr>
        <w:t>Cuatro se impuso a La Sexta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franjas de mañana (5,1% vs. 3,4%), sobremesa</w:t>
      </w:r>
      <w:r w:rsidR="003462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(5,9% vs. 5,3%) y </w:t>
      </w:r>
      <w:proofErr w:type="spellStart"/>
      <w:r w:rsidR="00346213" w:rsidRPr="0034621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346213" w:rsidRPr="0034621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3462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(6,3% vs. 5%).</w:t>
      </w:r>
    </w:p>
    <w:sectPr w:rsidR="00B83A31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20D7" w14:textId="77777777" w:rsidR="006432CD" w:rsidRDefault="006432CD" w:rsidP="00B23904">
      <w:pPr>
        <w:spacing w:after="0" w:line="240" w:lineRule="auto"/>
      </w:pPr>
      <w:r>
        <w:separator/>
      </w:r>
    </w:p>
  </w:endnote>
  <w:endnote w:type="continuationSeparator" w:id="0">
    <w:p w14:paraId="7EB6DFF0" w14:textId="77777777" w:rsidR="006432CD" w:rsidRDefault="006432C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3659" w14:textId="77777777" w:rsidR="006432CD" w:rsidRDefault="006432CD" w:rsidP="00B23904">
      <w:pPr>
        <w:spacing w:after="0" w:line="240" w:lineRule="auto"/>
      </w:pPr>
      <w:r>
        <w:separator/>
      </w:r>
    </w:p>
  </w:footnote>
  <w:footnote w:type="continuationSeparator" w:id="0">
    <w:p w14:paraId="6C20E98E" w14:textId="77777777" w:rsidR="006432CD" w:rsidRDefault="006432C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2BBA"/>
    <w:rsid w:val="00223602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1F9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6213"/>
    <w:rsid w:val="003670CD"/>
    <w:rsid w:val="00372AF2"/>
    <w:rsid w:val="00375359"/>
    <w:rsid w:val="00377B46"/>
    <w:rsid w:val="00381569"/>
    <w:rsid w:val="0038435F"/>
    <w:rsid w:val="003851D9"/>
    <w:rsid w:val="00397619"/>
    <w:rsid w:val="003A45CD"/>
    <w:rsid w:val="003A53B6"/>
    <w:rsid w:val="003A689F"/>
    <w:rsid w:val="003B77E4"/>
    <w:rsid w:val="003C1B11"/>
    <w:rsid w:val="003C4280"/>
    <w:rsid w:val="003C4345"/>
    <w:rsid w:val="003D0960"/>
    <w:rsid w:val="003D10B4"/>
    <w:rsid w:val="003D2774"/>
    <w:rsid w:val="003E01E0"/>
    <w:rsid w:val="003E0BC9"/>
    <w:rsid w:val="003E7BA6"/>
    <w:rsid w:val="003F161B"/>
    <w:rsid w:val="003F5629"/>
    <w:rsid w:val="00401B70"/>
    <w:rsid w:val="004035E3"/>
    <w:rsid w:val="004036C7"/>
    <w:rsid w:val="004063D9"/>
    <w:rsid w:val="004078C0"/>
    <w:rsid w:val="00411E0E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91C"/>
    <w:rsid w:val="00642ADC"/>
    <w:rsid w:val="00642E5E"/>
    <w:rsid w:val="006432CD"/>
    <w:rsid w:val="006502A2"/>
    <w:rsid w:val="00653479"/>
    <w:rsid w:val="006535FC"/>
    <w:rsid w:val="00653C39"/>
    <w:rsid w:val="00654AEB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FD5"/>
    <w:rsid w:val="007F5632"/>
    <w:rsid w:val="007F7AED"/>
    <w:rsid w:val="008022EA"/>
    <w:rsid w:val="008250A9"/>
    <w:rsid w:val="008251B8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5656"/>
    <w:rsid w:val="008769E5"/>
    <w:rsid w:val="00880851"/>
    <w:rsid w:val="0089094A"/>
    <w:rsid w:val="008B2E6B"/>
    <w:rsid w:val="008B57C7"/>
    <w:rsid w:val="008C195D"/>
    <w:rsid w:val="008D0E96"/>
    <w:rsid w:val="008D2355"/>
    <w:rsid w:val="008E1405"/>
    <w:rsid w:val="008E2C32"/>
    <w:rsid w:val="008E61DD"/>
    <w:rsid w:val="008E748A"/>
    <w:rsid w:val="008F244A"/>
    <w:rsid w:val="008F26F0"/>
    <w:rsid w:val="008F3143"/>
    <w:rsid w:val="008F4CEE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4033"/>
    <w:rsid w:val="009C6770"/>
    <w:rsid w:val="009C6DFC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5BC7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8248B"/>
    <w:rsid w:val="00B825C8"/>
    <w:rsid w:val="00B8357A"/>
    <w:rsid w:val="00B83A31"/>
    <w:rsid w:val="00B86D37"/>
    <w:rsid w:val="00B92376"/>
    <w:rsid w:val="00B93F86"/>
    <w:rsid w:val="00B95DF9"/>
    <w:rsid w:val="00B95FD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CA7"/>
    <w:rsid w:val="00D6666F"/>
    <w:rsid w:val="00D70477"/>
    <w:rsid w:val="00D72CD4"/>
    <w:rsid w:val="00D72CF2"/>
    <w:rsid w:val="00D756C6"/>
    <w:rsid w:val="00D80A52"/>
    <w:rsid w:val="00D80DDF"/>
    <w:rsid w:val="00D8378B"/>
    <w:rsid w:val="00D86D61"/>
    <w:rsid w:val="00D9481D"/>
    <w:rsid w:val="00D967DA"/>
    <w:rsid w:val="00DA36C4"/>
    <w:rsid w:val="00DA67DB"/>
    <w:rsid w:val="00DC051A"/>
    <w:rsid w:val="00DD4F40"/>
    <w:rsid w:val="00DD6865"/>
    <w:rsid w:val="00DE256C"/>
    <w:rsid w:val="00DE2FE4"/>
    <w:rsid w:val="00DE458B"/>
    <w:rsid w:val="00DE785E"/>
    <w:rsid w:val="00DF0BAA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0A5B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Revisin">
    <w:name w:val="Revision"/>
    <w:hidden/>
    <w:uiPriority w:val="99"/>
    <w:semiHidden/>
    <w:rsid w:val="00223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2021-05-24T09:22:00Z</dcterms:created>
  <dcterms:modified xsi:type="dcterms:W3CDTF">2021-05-24T09:22:00Z</dcterms:modified>
</cp:coreProperties>
</file>