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5292" w14:textId="153E73E0" w:rsidR="000E09C0" w:rsidRDefault="004C5946" w:rsidP="00FB023A">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140B480D" wp14:editId="7EC4AF1A">
            <wp:simplePos x="0" y="0"/>
            <wp:positionH relativeFrom="page">
              <wp:posOffset>4154170</wp:posOffset>
            </wp:positionH>
            <wp:positionV relativeFrom="margin">
              <wp:posOffset>-390194</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5C32BB" w14:textId="2CA466ED" w:rsidR="00161BE0" w:rsidRDefault="00161BE0" w:rsidP="00FB023A">
      <w:pPr>
        <w:spacing w:after="0" w:line="240" w:lineRule="auto"/>
        <w:rPr>
          <w:rFonts w:ascii="Arial" w:eastAsia="Times New Roman" w:hAnsi="Arial" w:cs="Arial"/>
          <w:sz w:val="24"/>
          <w:szCs w:val="24"/>
          <w:lang w:eastAsia="es-ES"/>
        </w:rPr>
      </w:pPr>
    </w:p>
    <w:p w14:paraId="3BEE0F4E" w14:textId="77777777" w:rsidR="00A726CD" w:rsidRDefault="00A726CD" w:rsidP="00FB023A">
      <w:pPr>
        <w:spacing w:after="0" w:line="240" w:lineRule="auto"/>
        <w:rPr>
          <w:rFonts w:ascii="Arial" w:eastAsia="Times New Roman" w:hAnsi="Arial" w:cs="Arial"/>
          <w:sz w:val="24"/>
          <w:szCs w:val="24"/>
          <w:lang w:eastAsia="es-ES"/>
        </w:rPr>
      </w:pPr>
    </w:p>
    <w:p w14:paraId="74AAEF1F" w14:textId="11D29B09" w:rsidR="00B23904" w:rsidRPr="00B23904" w:rsidRDefault="00B23904" w:rsidP="00FB023A">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392EA9">
        <w:rPr>
          <w:rFonts w:ascii="Arial" w:eastAsia="Times New Roman" w:hAnsi="Arial" w:cs="Arial"/>
          <w:sz w:val="24"/>
          <w:szCs w:val="24"/>
          <w:lang w:eastAsia="es-ES"/>
        </w:rPr>
        <w:t>7 de mayo</w:t>
      </w:r>
      <w:r w:rsidR="00A91106">
        <w:rPr>
          <w:rFonts w:ascii="Arial" w:eastAsia="Times New Roman" w:hAnsi="Arial" w:cs="Arial"/>
          <w:sz w:val="24"/>
          <w:szCs w:val="24"/>
          <w:lang w:eastAsia="es-ES"/>
        </w:rPr>
        <w:t xml:space="preserve"> de 2021</w:t>
      </w:r>
    </w:p>
    <w:p w14:paraId="50C14D19" w14:textId="77777777" w:rsidR="001E3363" w:rsidRPr="00D27279" w:rsidRDefault="001E3363" w:rsidP="00FB023A">
      <w:pPr>
        <w:spacing w:after="0" w:line="240" w:lineRule="auto"/>
        <w:jc w:val="both"/>
        <w:rPr>
          <w:rFonts w:ascii="Arial" w:eastAsia="Times New Roman" w:hAnsi="Arial" w:cs="Arial"/>
          <w:sz w:val="42"/>
          <w:szCs w:val="42"/>
          <w:lang w:val="es-ES_tradnl" w:eastAsia="es-ES"/>
        </w:rPr>
      </w:pPr>
    </w:p>
    <w:p w14:paraId="719D1F8F" w14:textId="45E4BFEA" w:rsidR="00873055" w:rsidRPr="00AE6CC2" w:rsidRDefault="00F54360" w:rsidP="00FB023A">
      <w:pPr>
        <w:spacing w:after="0" w:line="240" w:lineRule="auto"/>
        <w:jc w:val="both"/>
        <w:rPr>
          <w:rFonts w:ascii="Arial" w:eastAsia="Times New Roman" w:hAnsi="Arial" w:cs="Arial"/>
          <w:bCs/>
          <w:color w:val="002C5F"/>
          <w:sz w:val="42"/>
          <w:szCs w:val="42"/>
          <w:lang w:eastAsia="es-ES"/>
        </w:rPr>
      </w:pPr>
      <w:r w:rsidRPr="00AE6CC2">
        <w:rPr>
          <w:rFonts w:ascii="Arial" w:eastAsia="Times New Roman" w:hAnsi="Arial" w:cs="Arial"/>
          <w:bCs/>
          <w:color w:val="002C5F"/>
          <w:sz w:val="42"/>
          <w:szCs w:val="42"/>
          <w:lang w:eastAsia="es-ES"/>
        </w:rPr>
        <w:t>Mediaset España</w:t>
      </w:r>
      <w:r w:rsidR="00047F3E" w:rsidRPr="00AE6CC2">
        <w:rPr>
          <w:rFonts w:ascii="Arial" w:eastAsia="Times New Roman" w:hAnsi="Arial" w:cs="Arial"/>
          <w:bCs/>
          <w:color w:val="002C5F"/>
          <w:sz w:val="42"/>
          <w:szCs w:val="42"/>
          <w:lang w:eastAsia="es-ES"/>
        </w:rPr>
        <w:t xml:space="preserve"> </w:t>
      </w:r>
      <w:r w:rsidR="00537C94" w:rsidRPr="00AE6CC2">
        <w:rPr>
          <w:rFonts w:ascii="Arial" w:eastAsia="Times New Roman" w:hAnsi="Arial" w:cs="Arial"/>
          <w:bCs/>
          <w:color w:val="002C5F"/>
          <w:sz w:val="42"/>
          <w:szCs w:val="42"/>
          <w:lang w:eastAsia="es-ES"/>
        </w:rPr>
        <w:t xml:space="preserve">obtiene </w:t>
      </w:r>
      <w:r w:rsidR="00620EDF" w:rsidRPr="00AE6CC2">
        <w:rPr>
          <w:rFonts w:ascii="Arial" w:eastAsia="Times New Roman" w:hAnsi="Arial" w:cs="Arial"/>
          <w:bCs/>
          <w:color w:val="002C5F"/>
          <w:sz w:val="42"/>
          <w:szCs w:val="42"/>
          <w:lang w:eastAsia="es-ES"/>
        </w:rPr>
        <w:t>un beneficio neto de</w:t>
      </w:r>
      <w:r w:rsidR="00620EDF">
        <w:rPr>
          <w:rFonts w:ascii="Arial" w:eastAsia="Times New Roman" w:hAnsi="Arial" w:cs="Arial"/>
          <w:bCs/>
          <w:color w:val="002C5F"/>
          <w:sz w:val="42"/>
          <w:szCs w:val="42"/>
          <w:lang w:eastAsia="es-ES"/>
        </w:rPr>
        <w:t xml:space="preserve"> </w:t>
      </w:r>
      <w:r w:rsidR="00620EDF" w:rsidRPr="00AE6CC2">
        <w:rPr>
          <w:rFonts w:ascii="Arial" w:eastAsia="Times New Roman" w:hAnsi="Arial" w:cs="Arial"/>
          <w:bCs/>
          <w:color w:val="002C5F"/>
          <w:sz w:val="42"/>
          <w:szCs w:val="42"/>
          <w:lang w:eastAsia="es-ES"/>
        </w:rPr>
        <w:t xml:space="preserve">36,7M€ </w:t>
      </w:r>
      <w:r w:rsidR="00537C94" w:rsidRPr="00AE6CC2">
        <w:rPr>
          <w:rFonts w:ascii="Arial" w:eastAsia="Times New Roman" w:hAnsi="Arial" w:cs="Arial"/>
          <w:bCs/>
          <w:color w:val="002C5F"/>
          <w:sz w:val="42"/>
          <w:szCs w:val="42"/>
          <w:lang w:eastAsia="es-ES"/>
        </w:rPr>
        <w:t xml:space="preserve">en el primer trimestre </w:t>
      </w:r>
      <w:r w:rsidR="00D73FB1" w:rsidRPr="00AE6CC2">
        <w:rPr>
          <w:rFonts w:ascii="Arial" w:eastAsia="Times New Roman" w:hAnsi="Arial" w:cs="Arial"/>
          <w:bCs/>
          <w:color w:val="002C5F"/>
          <w:sz w:val="42"/>
          <w:szCs w:val="42"/>
          <w:lang w:eastAsia="es-ES"/>
        </w:rPr>
        <w:t>y vislumbra una fuerte recuperación en el segundo</w:t>
      </w:r>
    </w:p>
    <w:p w14:paraId="3583A8D8" w14:textId="77777777" w:rsidR="00F54360" w:rsidRPr="00BB45FB" w:rsidRDefault="00F54360" w:rsidP="00FB023A">
      <w:pPr>
        <w:spacing w:after="0" w:line="240" w:lineRule="auto"/>
        <w:jc w:val="both"/>
        <w:rPr>
          <w:rFonts w:ascii="Arial" w:eastAsia="Times New Roman" w:hAnsi="Arial" w:cs="Arial"/>
          <w:b/>
          <w:sz w:val="42"/>
          <w:szCs w:val="42"/>
          <w:lang w:eastAsia="es-ES"/>
        </w:rPr>
      </w:pPr>
    </w:p>
    <w:p w14:paraId="6241113F" w14:textId="018E4068" w:rsidR="001A0B9F" w:rsidRDefault="001A0B9F" w:rsidP="00FB023A">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Paolo Vasile, consejero delegado de la compañía: </w:t>
      </w:r>
      <w:r w:rsidRPr="001A0B9F">
        <w:rPr>
          <w:rFonts w:ascii="Arial" w:eastAsia="Times New Roman" w:hAnsi="Arial" w:cs="Arial"/>
          <w:b/>
          <w:i/>
          <w:iCs/>
          <w:sz w:val="24"/>
          <w:szCs w:val="24"/>
          <w:lang w:eastAsia="es-ES"/>
        </w:rPr>
        <w:t>“Tras un inicio de año tibio en las decisiones de inversión, especialmente al compararlo con el arranque de un 2020 todavía sin el impacto de la pandemia, el mercado publicitario televisivo y online ha evidenciado un fuerte crecimiento a partir de abril, lo que hace presagiar un 2021 de importante recuperación para la industria audiovisual española y para la economía del país”</w:t>
      </w:r>
      <w:r w:rsidRPr="001A0B9F">
        <w:rPr>
          <w:rFonts w:ascii="Arial" w:eastAsia="Times New Roman" w:hAnsi="Arial" w:cs="Arial"/>
          <w:b/>
          <w:sz w:val="24"/>
          <w:szCs w:val="24"/>
          <w:lang w:eastAsia="es-ES"/>
        </w:rPr>
        <w:t>.</w:t>
      </w:r>
    </w:p>
    <w:p w14:paraId="1EAD2E93" w14:textId="77777777" w:rsidR="001A0B9F" w:rsidRDefault="001A0B9F" w:rsidP="00FB023A">
      <w:pPr>
        <w:spacing w:after="0" w:line="240" w:lineRule="auto"/>
        <w:jc w:val="center"/>
        <w:rPr>
          <w:rFonts w:ascii="Arial" w:eastAsia="Times New Roman" w:hAnsi="Arial" w:cs="Arial"/>
          <w:b/>
          <w:sz w:val="24"/>
          <w:szCs w:val="24"/>
          <w:lang w:eastAsia="es-ES"/>
        </w:rPr>
      </w:pPr>
    </w:p>
    <w:p w14:paraId="6AA52731" w14:textId="7FF4828B" w:rsidR="00F71539" w:rsidRDefault="00C13C06" w:rsidP="00FB023A">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Mediaset España h</w:t>
      </w:r>
      <w:r w:rsidR="00D73FB1">
        <w:rPr>
          <w:rFonts w:ascii="Arial" w:eastAsia="Times New Roman" w:hAnsi="Arial" w:cs="Arial"/>
          <w:b/>
          <w:sz w:val="24"/>
          <w:szCs w:val="24"/>
          <w:lang w:eastAsia="es-ES"/>
        </w:rPr>
        <w:t>a obtenido una</w:t>
      </w:r>
      <w:r w:rsidR="00537C94">
        <w:rPr>
          <w:rFonts w:ascii="Arial" w:eastAsia="Times New Roman" w:hAnsi="Arial" w:cs="Arial"/>
          <w:b/>
          <w:sz w:val="24"/>
          <w:szCs w:val="24"/>
          <w:lang w:eastAsia="es-ES"/>
        </w:rPr>
        <w:t xml:space="preserve"> facturación </w:t>
      </w:r>
      <w:r w:rsidR="00616C95">
        <w:rPr>
          <w:rFonts w:ascii="Arial" w:eastAsia="Times New Roman" w:hAnsi="Arial" w:cs="Arial"/>
          <w:b/>
          <w:sz w:val="24"/>
          <w:szCs w:val="24"/>
          <w:lang w:eastAsia="es-ES"/>
        </w:rPr>
        <w:t>total</w:t>
      </w:r>
      <w:r w:rsidR="00537C94">
        <w:rPr>
          <w:rFonts w:ascii="Arial" w:eastAsia="Times New Roman" w:hAnsi="Arial" w:cs="Arial"/>
          <w:b/>
          <w:sz w:val="24"/>
          <w:szCs w:val="24"/>
          <w:lang w:eastAsia="es-ES"/>
        </w:rPr>
        <w:t xml:space="preserve"> </w:t>
      </w:r>
      <w:r w:rsidR="00D73FB1">
        <w:rPr>
          <w:rFonts w:ascii="Arial" w:eastAsia="Times New Roman" w:hAnsi="Arial" w:cs="Arial"/>
          <w:b/>
          <w:sz w:val="24"/>
          <w:szCs w:val="24"/>
          <w:lang w:eastAsia="es-ES"/>
        </w:rPr>
        <w:t>d</w:t>
      </w:r>
      <w:r w:rsidR="00537C94">
        <w:rPr>
          <w:rFonts w:ascii="Arial" w:eastAsia="Times New Roman" w:hAnsi="Arial" w:cs="Arial"/>
          <w:b/>
          <w:sz w:val="24"/>
          <w:szCs w:val="24"/>
          <w:lang w:eastAsia="es-ES"/>
        </w:rPr>
        <w:t xml:space="preserve">e 184M€, de los que </w:t>
      </w:r>
      <w:r w:rsidR="00A11777">
        <w:rPr>
          <w:rFonts w:ascii="Arial" w:eastAsia="Times New Roman" w:hAnsi="Arial" w:cs="Arial"/>
          <w:b/>
          <w:sz w:val="24"/>
          <w:szCs w:val="24"/>
          <w:lang w:eastAsia="es-ES"/>
        </w:rPr>
        <w:t>171M€ corresponden a ingresos brutos por publicidad y 20,1M€ a otros ingresos</w:t>
      </w:r>
      <w:r w:rsidR="00E3264B">
        <w:rPr>
          <w:rFonts w:ascii="Arial" w:eastAsia="Times New Roman" w:hAnsi="Arial" w:cs="Arial"/>
          <w:b/>
          <w:sz w:val="24"/>
          <w:szCs w:val="24"/>
          <w:lang w:eastAsia="es-ES"/>
        </w:rPr>
        <w:t>.</w:t>
      </w:r>
      <w:r w:rsidR="00A11777">
        <w:rPr>
          <w:rFonts w:ascii="Arial" w:eastAsia="Times New Roman" w:hAnsi="Arial" w:cs="Arial"/>
          <w:b/>
          <w:sz w:val="24"/>
          <w:szCs w:val="24"/>
          <w:lang w:eastAsia="es-ES"/>
        </w:rPr>
        <w:t xml:space="preserve"> </w:t>
      </w:r>
      <w:r w:rsidR="002C6899">
        <w:rPr>
          <w:rFonts w:ascii="Arial" w:eastAsia="Times New Roman" w:hAnsi="Arial" w:cs="Arial"/>
          <w:b/>
          <w:sz w:val="24"/>
          <w:szCs w:val="24"/>
          <w:lang w:eastAsia="es-ES"/>
        </w:rPr>
        <w:t xml:space="preserve">Los costes se han reducido un </w:t>
      </w:r>
      <w:r w:rsidR="00A11777">
        <w:rPr>
          <w:rFonts w:ascii="Arial" w:eastAsia="Times New Roman" w:hAnsi="Arial" w:cs="Arial"/>
          <w:b/>
          <w:sz w:val="24"/>
          <w:szCs w:val="24"/>
          <w:lang w:eastAsia="es-ES"/>
        </w:rPr>
        <w:t>18,4% hasta los 132,6M</w:t>
      </w:r>
      <w:r w:rsidR="00FA7B48">
        <w:rPr>
          <w:rFonts w:ascii="Arial" w:eastAsia="Times New Roman" w:hAnsi="Arial" w:cs="Arial"/>
          <w:b/>
          <w:sz w:val="24"/>
          <w:szCs w:val="24"/>
          <w:lang w:eastAsia="es-ES"/>
        </w:rPr>
        <w:t>€</w:t>
      </w:r>
      <w:r w:rsidR="00E3264B">
        <w:rPr>
          <w:rFonts w:ascii="Arial" w:eastAsia="Times New Roman" w:hAnsi="Arial" w:cs="Arial"/>
          <w:b/>
          <w:sz w:val="24"/>
          <w:szCs w:val="24"/>
          <w:lang w:eastAsia="es-ES"/>
        </w:rPr>
        <w:t>.</w:t>
      </w:r>
    </w:p>
    <w:p w14:paraId="664B1AD5" w14:textId="6A51447B" w:rsidR="006645A5" w:rsidRDefault="006645A5" w:rsidP="00FB023A">
      <w:pPr>
        <w:spacing w:after="0" w:line="240" w:lineRule="auto"/>
        <w:jc w:val="center"/>
        <w:rPr>
          <w:rFonts w:ascii="Arial" w:eastAsia="Times New Roman" w:hAnsi="Arial" w:cs="Arial"/>
          <w:b/>
          <w:sz w:val="24"/>
          <w:szCs w:val="24"/>
          <w:lang w:eastAsia="es-ES"/>
        </w:rPr>
      </w:pPr>
    </w:p>
    <w:p w14:paraId="4DAF2742" w14:textId="5C3CA171" w:rsidR="00A7006F" w:rsidRDefault="008644AA" w:rsidP="00FB023A">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H</w:t>
      </w:r>
      <w:r w:rsidR="00A11777">
        <w:rPr>
          <w:rFonts w:ascii="Arial" w:eastAsia="Times New Roman" w:hAnsi="Arial" w:cs="Arial"/>
          <w:b/>
          <w:sz w:val="24"/>
          <w:szCs w:val="24"/>
          <w:lang w:eastAsia="es-ES"/>
        </w:rPr>
        <w:t>a alcanzado un EBITDA de 51,3</w:t>
      </w:r>
      <w:r w:rsidR="002C6899">
        <w:rPr>
          <w:rFonts w:ascii="Arial" w:eastAsia="Times New Roman" w:hAnsi="Arial" w:cs="Arial"/>
          <w:b/>
          <w:sz w:val="24"/>
          <w:szCs w:val="24"/>
          <w:lang w:eastAsia="es-ES"/>
        </w:rPr>
        <w:t>M€, con un margen sobre ingresos netos del 27,9%; y un EBIT de 47,1M€, con un margen sobre ingresos netos del 25,6%</w:t>
      </w:r>
      <w:r w:rsidR="00161BE0" w:rsidRPr="00161BE0">
        <w:rPr>
          <w:rFonts w:ascii="Arial" w:eastAsia="Times New Roman" w:hAnsi="Arial" w:cs="Arial"/>
          <w:b/>
          <w:sz w:val="24"/>
          <w:szCs w:val="24"/>
          <w:lang w:eastAsia="es-ES"/>
        </w:rPr>
        <w:t>.</w:t>
      </w:r>
    </w:p>
    <w:p w14:paraId="1C4D1E62" w14:textId="77777777" w:rsidR="008644AA" w:rsidRPr="00AE6CC2" w:rsidRDefault="008644AA" w:rsidP="00FB023A">
      <w:pPr>
        <w:spacing w:after="0" w:line="240" w:lineRule="auto"/>
        <w:jc w:val="both"/>
        <w:rPr>
          <w:rFonts w:ascii="Arial" w:eastAsia="Times New Roman" w:hAnsi="Arial" w:cs="Arial"/>
          <w:b/>
          <w:bCs/>
          <w:sz w:val="42"/>
          <w:szCs w:val="42"/>
          <w:lang w:eastAsia="es-ES"/>
        </w:rPr>
      </w:pPr>
    </w:p>
    <w:p w14:paraId="4DCED610" w14:textId="65F4F83F" w:rsidR="00AE6CC2" w:rsidRDefault="00240C9B" w:rsidP="00FB023A">
      <w:pPr>
        <w:spacing w:after="0" w:line="240" w:lineRule="auto"/>
        <w:jc w:val="both"/>
        <w:rPr>
          <w:rFonts w:ascii="Arial" w:eastAsia="Times New Roman" w:hAnsi="Arial" w:cs="Arial"/>
          <w:sz w:val="24"/>
          <w:szCs w:val="24"/>
          <w:lang w:eastAsia="es-ES"/>
        </w:rPr>
      </w:pPr>
      <w:r w:rsidRPr="00240C9B">
        <w:rPr>
          <w:rFonts w:ascii="Arial" w:eastAsia="Times New Roman" w:hAnsi="Arial" w:cs="Arial"/>
          <w:b/>
          <w:bCs/>
          <w:sz w:val="24"/>
          <w:szCs w:val="24"/>
          <w:lang w:eastAsia="es-ES"/>
        </w:rPr>
        <w:t>Mediaset España</w:t>
      </w:r>
      <w:r w:rsidR="002C6899">
        <w:rPr>
          <w:rFonts w:ascii="Arial" w:eastAsia="Times New Roman" w:hAnsi="Arial" w:cs="Arial"/>
          <w:sz w:val="24"/>
          <w:szCs w:val="24"/>
          <w:lang w:eastAsia="es-ES"/>
        </w:rPr>
        <w:t xml:space="preserve"> </w:t>
      </w:r>
      <w:r w:rsidR="002C6899" w:rsidRPr="00AE6CC2">
        <w:rPr>
          <w:rFonts w:ascii="Arial" w:eastAsia="Times New Roman" w:hAnsi="Arial" w:cs="Arial"/>
          <w:b/>
          <w:bCs/>
          <w:sz w:val="24"/>
          <w:szCs w:val="24"/>
          <w:lang w:eastAsia="es-ES"/>
        </w:rPr>
        <w:t xml:space="preserve">ha obtenido </w:t>
      </w:r>
      <w:r w:rsidR="00DF2CE8" w:rsidRPr="00E531ED">
        <w:rPr>
          <w:rFonts w:ascii="Arial" w:eastAsia="Times New Roman" w:hAnsi="Arial" w:cs="Arial"/>
          <w:b/>
          <w:bCs/>
          <w:sz w:val="24"/>
          <w:szCs w:val="24"/>
          <w:lang w:eastAsia="es-ES"/>
        </w:rPr>
        <w:t>un</w:t>
      </w:r>
      <w:r w:rsidR="00DF2CE8" w:rsidRPr="00E531ED">
        <w:rPr>
          <w:rFonts w:ascii="Arial" w:eastAsia="Times New Roman" w:hAnsi="Arial" w:cs="Arial"/>
          <w:sz w:val="24"/>
          <w:szCs w:val="24"/>
          <w:lang w:eastAsia="es-ES"/>
        </w:rPr>
        <w:t xml:space="preserve"> </w:t>
      </w:r>
      <w:r w:rsidR="00DF2CE8" w:rsidRPr="00E531ED">
        <w:rPr>
          <w:rFonts w:ascii="Arial" w:eastAsia="Times New Roman" w:hAnsi="Arial" w:cs="Arial"/>
          <w:b/>
          <w:bCs/>
          <w:sz w:val="24"/>
          <w:szCs w:val="24"/>
          <w:lang w:eastAsia="es-ES"/>
        </w:rPr>
        <w:t>beneficio neto de 36,7M€</w:t>
      </w:r>
      <w:r w:rsidR="00DF2CE8">
        <w:rPr>
          <w:rFonts w:ascii="Arial" w:eastAsia="Times New Roman" w:hAnsi="Arial" w:cs="Arial"/>
          <w:b/>
          <w:bCs/>
          <w:sz w:val="24"/>
          <w:szCs w:val="24"/>
          <w:lang w:eastAsia="es-ES"/>
        </w:rPr>
        <w:t xml:space="preserve"> </w:t>
      </w:r>
      <w:r w:rsidR="002C6899" w:rsidRPr="00AE6CC2">
        <w:rPr>
          <w:rFonts w:ascii="Arial" w:eastAsia="Times New Roman" w:hAnsi="Arial" w:cs="Arial"/>
          <w:b/>
          <w:bCs/>
          <w:sz w:val="24"/>
          <w:szCs w:val="24"/>
          <w:lang w:eastAsia="es-ES"/>
        </w:rPr>
        <w:t xml:space="preserve">en el </w:t>
      </w:r>
      <w:r w:rsidR="002C6899" w:rsidRPr="00E0018C">
        <w:rPr>
          <w:rFonts w:ascii="Arial" w:eastAsia="Times New Roman" w:hAnsi="Arial" w:cs="Arial"/>
          <w:b/>
          <w:bCs/>
          <w:sz w:val="24"/>
          <w:szCs w:val="24"/>
          <w:lang w:eastAsia="es-ES"/>
        </w:rPr>
        <w:t>prime</w:t>
      </w:r>
      <w:r w:rsidR="008644AA" w:rsidRPr="00E0018C">
        <w:rPr>
          <w:rFonts w:ascii="Arial" w:eastAsia="Times New Roman" w:hAnsi="Arial" w:cs="Arial"/>
          <w:b/>
          <w:bCs/>
          <w:sz w:val="24"/>
          <w:szCs w:val="24"/>
          <w:lang w:eastAsia="es-ES"/>
        </w:rPr>
        <w:t>r</w:t>
      </w:r>
      <w:r w:rsidR="002C6899" w:rsidRPr="00E0018C">
        <w:rPr>
          <w:rFonts w:ascii="Arial" w:eastAsia="Times New Roman" w:hAnsi="Arial" w:cs="Arial"/>
          <w:b/>
          <w:bCs/>
          <w:sz w:val="24"/>
          <w:szCs w:val="24"/>
          <w:lang w:eastAsia="es-ES"/>
        </w:rPr>
        <w:t xml:space="preserve"> trimestre</w:t>
      </w:r>
      <w:r w:rsidR="002C6899" w:rsidRPr="00AE6CC2">
        <w:rPr>
          <w:rFonts w:ascii="Arial" w:eastAsia="Times New Roman" w:hAnsi="Arial" w:cs="Arial"/>
          <w:b/>
          <w:bCs/>
          <w:sz w:val="24"/>
          <w:szCs w:val="24"/>
          <w:lang w:eastAsia="es-ES"/>
        </w:rPr>
        <w:t xml:space="preserve"> del año</w:t>
      </w:r>
      <w:r w:rsidR="00FA44C7" w:rsidRPr="00DF2CE8">
        <w:rPr>
          <w:rFonts w:ascii="Arial" w:eastAsia="Times New Roman" w:hAnsi="Arial" w:cs="Arial"/>
          <w:sz w:val="24"/>
          <w:szCs w:val="24"/>
          <w:lang w:eastAsia="es-ES"/>
        </w:rPr>
        <w:t>, lo que supone un margen sobre ingresos netos del 20% y un beneficio por acción de 0,12€.</w:t>
      </w:r>
      <w:r w:rsidR="00FA44C7">
        <w:rPr>
          <w:rFonts w:ascii="Arial" w:eastAsia="Times New Roman" w:hAnsi="Arial" w:cs="Arial"/>
          <w:sz w:val="24"/>
          <w:szCs w:val="24"/>
          <w:lang w:eastAsia="es-ES"/>
        </w:rPr>
        <w:t xml:space="preserve"> Un periodo con una comparativa </w:t>
      </w:r>
      <w:r w:rsidR="00B65034">
        <w:rPr>
          <w:rFonts w:ascii="Arial" w:eastAsia="Times New Roman" w:hAnsi="Arial" w:cs="Arial"/>
          <w:sz w:val="24"/>
          <w:szCs w:val="24"/>
          <w:lang w:eastAsia="es-ES"/>
        </w:rPr>
        <w:t>no homogénea r</w:t>
      </w:r>
      <w:r w:rsidR="00FA44C7">
        <w:rPr>
          <w:rFonts w:ascii="Arial" w:eastAsia="Times New Roman" w:hAnsi="Arial" w:cs="Arial"/>
          <w:sz w:val="24"/>
          <w:szCs w:val="24"/>
          <w:lang w:eastAsia="es-ES"/>
        </w:rPr>
        <w:t>especto a</w:t>
      </w:r>
      <w:r w:rsidR="00F878E0">
        <w:rPr>
          <w:rFonts w:ascii="Arial" w:eastAsia="Times New Roman" w:hAnsi="Arial" w:cs="Arial"/>
          <w:sz w:val="24"/>
          <w:szCs w:val="24"/>
          <w:lang w:eastAsia="es-ES"/>
        </w:rPr>
        <w:t xml:space="preserve"> los tres primeros meses </w:t>
      </w:r>
      <w:r w:rsidR="00FA44C7">
        <w:rPr>
          <w:rFonts w:ascii="Arial" w:eastAsia="Times New Roman" w:hAnsi="Arial" w:cs="Arial"/>
          <w:sz w:val="24"/>
          <w:szCs w:val="24"/>
          <w:lang w:eastAsia="es-ES"/>
        </w:rPr>
        <w:t>de 2020</w:t>
      </w:r>
      <w:r w:rsidR="00EE524D">
        <w:rPr>
          <w:rFonts w:ascii="Arial" w:eastAsia="Times New Roman" w:hAnsi="Arial" w:cs="Arial"/>
          <w:sz w:val="24"/>
          <w:szCs w:val="24"/>
          <w:lang w:eastAsia="es-ES"/>
        </w:rPr>
        <w:t xml:space="preserve">, </w:t>
      </w:r>
      <w:r w:rsidR="00F878E0">
        <w:rPr>
          <w:rFonts w:ascii="Arial" w:eastAsia="Times New Roman" w:hAnsi="Arial" w:cs="Arial"/>
          <w:sz w:val="24"/>
          <w:szCs w:val="24"/>
          <w:lang w:eastAsia="es-ES"/>
        </w:rPr>
        <w:t xml:space="preserve">ya </w:t>
      </w:r>
      <w:r w:rsidR="009A4125">
        <w:rPr>
          <w:rFonts w:ascii="Arial" w:eastAsia="Times New Roman" w:hAnsi="Arial" w:cs="Arial"/>
          <w:sz w:val="24"/>
          <w:szCs w:val="24"/>
          <w:lang w:eastAsia="es-ES"/>
        </w:rPr>
        <w:t xml:space="preserve">que </w:t>
      </w:r>
      <w:r w:rsidR="00EE524D">
        <w:rPr>
          <w:rFonts w:ascii="Arial" w:eastAsia="Times New Roman" w:hAnsi="Arial" w:cs="Arial"/>
          <w:sz w:val="24"/>
          <w:szCs w:val="24"/>
          <w:lang w:eastAsia="es-ES"/>
        </w:rPr>
        <w:t>el año pasado</w:t>
      </w:r>
      <w:r w:rsidR="009A4125">
        <w:rPr>
          <w:rFonts w:ascii="Arial" w:eastAsia="Times New Roman" w:hAnsi="Arial" w:cs="Arial"/>
          <w:sz w:val="24"/>
          <w:szCs w:val="24"/>
          <w:lang w:eastAsia="es-ES"/>
        </w:rPr>
        <w:t xml:space="preserve"> fueron</w:t>
      </w:r>
      <w:r w:rsidR="00EE524D">
        <w:rPr>
          <w:rFonts w:ascii="Arial" w:eastAsia="Times New Roman" w:hAnsi="Arial" w:cs="Arial"/>
          <w:sz w:val="24"/>
          <w:szCs w:val="24"/>
          <w:lang w:eastAsia="es-ES"/>
        </w:rPr>
        <w:t xml:space="preserve"> </w:t>
      </w:r>
      <w:r w:rsidR="00FA44C7">
        <w:rPr>
          <w:rFonts w:ascii="Arial" w:eastAsia="Times New Roman" w:hAnsi="Arial" w:cs="Arial"/>
          <w:sz w:val="24"/>
          <w:szCs w:val="24"/>
          <w:lang w:eastAsia="es-ES"/>
        </w:rPr>
        <w:t xml:space="preserve">los únicos no afectados </w:t>
      </w:r>
      <w:r w:rsidR="00551760">
        <w:rPr>
          <w:rFonts w:ascii="Arial" w:eastAsia="Times New Roman" w:hAnsi="Arial" w:cs="Arial"/>
          <w:sz w:val="24"/>
          <w:szCs w:val="24"/>
          <w:lang w:eastAsia="es-ES"/>
        </w:rPr>
        <w:t xml:space="preserve">de manera directa </w:t>
      </w:r>
      <w:r w:rsidR="00FA44C7">
        <w:rPr>
          <w:rFonts w:ascii="Arial" w:eastAsia="Times New Roman" w:hAnsi="Arial" w:cs="Arial"/>
          <w:sz w:val="24"/>
          <w:szCs w:val="24"/>
          <w:lang w:eastAsia="es-ES"/>
        </w:rPr>
        <w:t>por la pandemia mundial</w:t>
      </w:r>
      <w:r w:rsidR="00B65034">
        <w:rPr>
          <w:rFonts w:ascii="Arial" w:eastAsia="Times New Roman" w:hAnsi="Arial" w:cs="Arial"/>
          <w:sz w:val="24"/>
          <w:szCs w:val="24"/>
          <w:lang w:eastAsia="es-ES"/>
        </w:rPr>
        <w:t xml:space="preserve"> de la COVID-19</w:t>
      </w:r>
      <w:r w:rsidR="007D6816">
        <w:rPr>
          <w:rFonts w:ascii="Arial" w:eastAsia="Times New Roman" w:hAnsi="Arial" w:cs="Arial"/>
          <w:sz w:val="24"/>
          <w:szCs w:val="24"/>
          <w:lang w:eastAsia="es-ES"/>
        </w:rPr>
        <w:t xml:space="preserve">. </w:t>
      </w:r>
    </w:p>
    <w:p w14:paraId="2A7E46E1" w14:textId="4971E700" w:rsidR="001A0B9F" w:rsidRDefault="001A0B9F" w:rsidP="00FB023A">
      <w:pPr>
        <w:spacing w:after="0" w:line="240" w:lineRule="auto"/>
        <w:jc w:val="both"/>
        <w:rPr>
          <w:rFonts w:ascii="Arial" w:eastAsia="Times New Roman" w:hAnsi="Arial" w:cs="Arial"/>
          <w:sz w:val="24"/>
          <w:szCs w:val="24"/>
          <w:lang w:eastAsia="es-ES"/>
        </w:rPr>
      </w:pPr>
    </w:p>
    <w:p w14:paraId="31B7CCDC" w14:textId="7E62B4B2" w:rsidR="001A0B9F" w:rsidRDefault="001A0B9F" w:rsidP="00FB023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Para </w:t>
      </w:r>
      <w:r w:rsidRPr="007D414A">
        <w:rPr>
          <w:rFonts w:ascii="Arial" w:eastAsia="Times New Roman" w:hAnsi="Arial" w:cs="Arial"/>
          <w:b/>
          <w:bCs/>
          <w:sz w:val="24"/>
          <w:szCs w:val="24"/>
          <w:lang w:eastAsia="es-ES"/>
        </w:rPr>
        <w:t>Paolo Vasile</w:t>
      </w:r>
      <w:r>
        <w:rPr>
          <w:rFonts w:ascii="Arial" w:eastAsia="Times New Roman" w:hAnsi="Arial" w:cs="Arial"/>
          <w:sz w:val="24"/>
          <w:szCs w:val="24"/>
          <w:lang w:eastAsia="es-ES"/>
        </w:rPr>
        <w:t xml:space="preserve">, consejero delegado de Mediaset España, </w:t>
      </w:r>
      <w:r w:rsidRPr="001A0B9F">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t</w:t>
      </w:r>
      <w:r w:rsidRPr="001A0B9F">
        <w:rPr>
          <w:rFonts w:ascii="Arial" w:eastAsia="Times New Roman" w:hAnsi="Arial" w:cs="Arial"/>
          <w:b/>
          <w:bCs/>
          <w:i/>
          <w:iCs/>
          <w:sz w:val="24"/>
          <w:szCs w:val="24"/>
          <w:lang w:eastAsia="es-ES"/>
        </w:rPr>
        <w:t xml:space="preserve">ras un inicio de año tibio en las decisiones de inversión, especialmente al compararlo con el arranque de un 2020 todavía sin el impacto de la pandemia, el mercado publicitario televisivo y online ha evidenciado un fuerte crecimiento a partir de abril, lo que hace presagiar un 2021 de importante recuperación para la industria audiovisual española y para la economía del país. En lo que refiere a Mediaset España, las buenas perspectivas se ven alentadas por la prevalencia de Telecinco como favorita de los espectadores y en especial de </w:t>
      </w:r>
      <w:r w:rsidRPr="00E531ED">
        <w:rPr>
          <w:rFonts w:ascii="Arial" w:eastAsia="Times New Roman" w:hAnsi="Arial" w:cs="Arial"/>
          <w:b/>
          <w:bCs/>
          <w:i/>
          <w:iCs/>
          <w:sz w:val="24"/>
          <w:szCs w:val="24"/>
          <w:lang w:eastAsia="es-ES"/>
        </w:rPr>
        <w:t xml:space="preserve">los </w:t>
      </w:r>
      <w:r w:rsidR="00B2022A" w:rsidRPr="00E531ED">
        <w:rPr>
          <w:rFonts w:ascii="Arial" w:eastAsia="Times New Roman" w:hAnsi="Arial" w:cs="Arial"/>
          <w:b/>
          <w:bCs/>
          <w:i/>
          <w:iCs/>
          <w:sz w:val="24"/>
          <w:szCs w:val="24"/>
          <w:lang w:eastAsia="es-ES"/>
        </w:rPr>
        <w:t>segmentos de público preferidos por los anunciantes</w:t>
      </w:r>
      <w:r w:rsidRPr="001A0B9F">
        <w:rPr>
          <w:rFonts w:ascii="Arial" w:eastAsia="Times New Roman" w:hAnsi="Arial" w:cs="Arial"/>
          <w:b/>
          <w:bCs/>
          <w:i/>
          <w:iCs/>
          <w:sz w:val="24"/>
          <w:szCs w:val="24"/>
          <w:lang w:eastAsia="es-ES"/>
        </w:rPr>
        <w:t>”</w:t>
      </w:r>
      <w:r w:rsidRPr="001A0B9F">
        <w:rPr>
          <w:rFonts w:ascii="Arial" w:eastAsia="Times New Roman" w:hAnsi="Arial" w:cs="Arial"/>
          <w:sz w:val="24"/>
          <w:szCs w:val="24"/>
          <w:lang w:eastAsia="es-ES"/>
        </w:rPr>
        <w:t>.</w:t>
      </w:r>
    </w:p>
    <w:p w14:paraId="6E47B341" w14:textId="77777777" w:rsidR="00AE6CC2" w:rsidRDefault="00AE6CC2" w:rsidP="00FB023A">
      <w:pPr>
        <w:spacing w:after="0" w:line="240" w:lineRule="auto"/>
        <w:jc w:val="both"/>
        <w:rPr>
          <w:rFonts w:ascii="Arial" w:eastAsia="Times New Roman" w:hAnsi="Arial" w:cs="Arial"/>
          <w:sz w:val="24"/>
          <w:szCs w:val="24"/>
          <w:lang w:eastAsia="es-ES"/>
        </w:rPr>
      </w:pPr>
    </w:p>
    <w:p w14:paraId="3ECC460D" w14:textId="53DAA2A8" w:rsidR="00195AFE" w:rsidRDefault="00C13C06" w:rsidP="00FB023A">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E</w:t>
      </w:r>
      <w:r w:rsidR="00FA44C7">
        <w:rPr>
          <w:rFonts w:ascii="Arial" w:eastAsia="Times New Roman" w:hAnsi="Arial" w:cs="Arial"/>
          <w:bCs/>
          <w:sz w:val="24"/>
          <w:szCs w:val="24"/>
          <w:lang w:eastAsia="es-ES"/>
        </w:rPr>
        <w:t>l grupo</w:t>
      </w:r>
      <w:r w:rsidR="00551760" w:rsidRPr="00551760">
        <w:rPr>
          <w:rFonts w:ascii="Arial" w:eastAsia="Times New Roman" w:hAnsi="Arial" w:cs="Arial"/>
          <w:bCs/>
          <w:sz w:val="24"/>
          <w:szCs w:val="24"/>
          <w:lang w:eastAsia="es-ES"/>
        </w:rPr>
        <w:t xml:space="preserve"> </w:t>
      </w:r>
      <w:r w:rsidR="00551760">
        <w:rPr>
          <w:rFonts w:ascii="Arial" w:eastAsia="Times New Roman" w:hAnsi="Arial" w:cs="Arial"/>
          <w:bCs/>
          <w:sz w:val="24"/>
          <w:szCs w:val="24"/>
          <w:lang w:eastAsia="es-ES"/>
        </w:rPr>
        <w:t xml:space="preserve">ha alcanzado una </w:t>
      </w:r>
      <w:r w:rsidR="00551760" w:rsidRPr="00CD66FA">
        <w:rPr>
          <w:rFonts w:ascii="Arial" w:eastAsia="Times New Roman" w:hAnsi="Arial" w:cs="Arial"/>
          <w:b/>
          <w:sz w:val="24"/>
          <w:szCs w:val="24"/>
          <w:lang w:eastAsia="es-ES"/>
        </w:rPr>
        <w:t>facturación neta</w:t>
      </w:r>
      <w:r w:rsidR="00551760">
        <w:rPr>
          <w:rFonts w:ascii="Arial" w:eastAsia="Times New Roman" w:hAnsi="Arial" w:cs="Arial"/>
          <w:bCs/>
          <w:sz w:val="24"/>
          <w:szCs w:val="24"/>
          <w:lang w:eastAsia="es-ES"/>
        </w:rPr>
        <w:t xml:space="preserve"> </w:t>
      </w:r>
      <w:r w:rsidR="00551760" w:rsidRPr="0079412A">
        <w:rPr>
          <w:rFonts w:ascii="Arial" w:eastAsia="Times New Roman" w:hAnsi="Arial" w:cs="Arial"/>
          <w:b/>
          <w:sz w:val="24"/>
          <w:szCs w:val="24"/>
          <w:lang w:eastAsia="es-ES"/>
        </w:rPr>
        <w:t>de</w:t>
      </w:r>
      <w:r w:rsidR="00551760" w:rsidRPr="00FA44C7">
        <w:rPr>
          <w:rFonts w:ascii="Arial" w:eastAsia="Times New Roman" w:hAnsi="Arial" w:cs="Arial"/>
          <w:b/>
          <w:sz w:val="24"/>
          <w:szCs w:val="24"/>
          <w:lang w:eastAsia="es-ES"/>
        </w:rPr>
        <w:t xml:space="preserve"> 184M</w:t>
      </w:r>
      <w:r w:rsidR="00551760">
        <w:rPr>
          <w:rFonts w:ascii="Arial" w:eastAsia="Times New Roman" w:hAnsi="Arial" w:cs="Arial"/>
          <w:b/>
          <w:sz w:val="24"/>
          <w:szCs w:val="24"/>
          <w:lang w:eastAsia="es-ES"/>
        </w:rPr>
        <w:t>€</w:t>
      </w:r>
      <w:r w:rsidR="00551760">
        <w:rPr>
          <w:rFonts w:ascii="Arial" w:eastAsia="Times New Roman" w:hAnsi="Arial" w:cs="Arial"/>
          <w:bCs/>
          <w:sz w:val="24"/>
          <w:szCs w:val="24"/>
          <w:lang w:eastAsia="es-ES"/>
        </w:rPr>
        <w:t xml:space="preserve"> </w:t>
      </w:r>
      <w:r w:rsidR="007B2306" w:rsidRPr="00E531ED">
        <w:rPr>
          <w:rFonts w:ascii="Arial" w:eastAsia="Times New Roman" w:hAnsi="Arial" w:cs="Arial"/>
          <w:b/>
          <w:sz w:val="24"/>
          <w:szCs w:val="24"/>
          <w:lang w:eastAsia="es-ES"/>
        </w:rPr>
        <w:t>entre enero y marzo</w:t>
      </w:r>
      <w:r w:rsidR="007B2306" w:rsidRPr="0079412A">
        <w:rPr>
          <w:rFonts w:ascii="Arial" w:eastAsia="Times New Roman" w:hAnsi="Arial" w:cs="Arial"/>
          <w:b/>
          <w:sz w:val="24"/>
          <w:szCs w:val="24"/>
          <w:lang w:eastAsia="es-ES"/>
        </w:rPr>
        <w:t xml:space="preserve"> </w:t>
      </w:r>
      <w:r w:rsidR="00551760">
        <w:rPr>
          <w:rFonts w:ascii="Arial" w:eastAsia="Times New Roman" w:hAnsi="Arial" w:cs="Arial"/>
          <w:bCs/>
          <w:sz w:val="24"/>
          <w:szCs w:val="24"/>
          <w:lang w:eastAsia="es-ES"/>
        </w:rPr>
        <w:t xml:space="preserve">y </w:t>
      </w:r>
      <w:r w:rsidR="00195AFE" w:rsidRPr="0079412A">
        <w:rPr>
          <w:rFonts w:ascii="Arial" w:eastAsia="Times New Roman" w:hAnsi="Arial" w:cs="Arial"/>
          <w:bCs/>
          <w:sz w:val="24"/>
          <w:szCs w:val="24"/>
          <w:lang w:eastAsia="es-ES"/>
        </w:rPr>
        <w:t xml:space="preserve">ha </w:t>
      </w:r>
      <w:r w:rsidR="00CD66FA" w:rsidRPr="0079412A">
        <w:rPr>
          <w:rFonts w:ascii="Arial" w:eastAsia="Times New Roman" w:hAnsi="Arial" w:cs="Arial"/>
          <w:bCs/>
          <w:sz w:val="24"/>
          <w:szCs w:val="24"/>
          <w:lang w:eastAsia="es-ES"/>
        </w:rPr>
        <w:t xml:space="preserve">vuelto a liderar </w:t>
      </w:r>
      <w:r w:rsidR="00195AFE" w:rsidRPr="0079412A">
        <w:rPr>
          <w:rFonts w:ascii="Arial" w:eastAsia="Times New Roman" w:hAnsi="Arial" w:cs="Arial"/>
          <w:bCs/>
          <w:sz w:val="24"/>
          <w:szCs w:val="24"/>
          <w:lang w:eastAsia="es-ES"/>
        </w:rPr>
        <w:t>la</w:t>
      </w:r>
      <w:r w:rsidR="00195AFE" w:rsidRPr="00195AFE">
        <w:rPr>
          <w:rFonts w:ascii="Arial" w:eastAsia="Times New Roman" w:hAnsi="Arial" w:cs="Arial"/>
          <w:b/>
          <w:sz w:val="24"/>
          <w:szCs w:val="24"/>
          <w:lang w:eastAsia="es-ES"/>
        </w:rPr>
        <w:t xml:space="preserve"> </w:t>
      </w:r>
      <w:r w:rsidR="00195AFE" w:rsidRPr="0079412A">
        <w:rPr>
          <w:rFonts w:ascii="Arial" w:eastAsia="Times New Roman" w:hAnsi="Arial" w:cs="Arial"/>
          <w:bCs/>
          <w:sz w:val="24"/>
          <w:szCs w:val="24"/>
          <w:lang w:eastAsia="es-ES"/>
        </w:rPr>
        <w:t>inversión publicitaria en televisión</w:t>
      </w:r>
      <w:r w:rsidR="00195AFE">
        <w:rPr>
          <w:rFonts w:ascii="Arial" w:eastAsia="Times New Roman" w:hAnsi="Arial" w:cs="Arial"/>
          <w:bCs/>
          <w:sz w:val="24"/>
          <w:szCs w:val="24"/>
          <w:lang w:eastAsia="es-ES"/>
        </w:rPr>
        <w:t xml:space="preserve"> con el 42% de la cuota de mercado según Infoadex</w:t>
      </w:r>
      <w:r w:rsidR="00551760">
        <w:rPr>
          <w:rFonts w:ascii="Arial" w:eastAsia="Times New Roman" w:hAnsi="Arial" w:cs="Arial"/>
          <w:bCs/>
          <w:sz w:val="24"/>
          <w:szCs w:val="24"/>
          <w:lang w:eastAsia="es-ES"/>
        </w:rPr>
        <w:t xml:space="preserve">. </w:t>
      </w:r>
      <w:r w:rsidR="0079412A">
        <w:rPr>
          <w:rFonts w:ascii="Arial" w:eastAsia="Times New Roman" w:hAnsi="Arial" w:cs="Arial"/>
          <w:bCs/>
          <w:sz w:val="24"/>
          <w:szCs w:val="24"/>
          <w:lang w:eastAsia="es-ES"/>
        </w:rPr>
        <w:t>H</w:t>
      </w:r>
      <w:r w:rsidR="00551760">
        <w:rPr>
          <w:rFonts w:ascii="Arial" w:eastAsia="Times New Roman" w:hAnsi="Arial" w:cs="Arial"/>
          <w:bCs/>
          <w:sz w:val="24"/>
          <w:szCs w:val="24"/>
          <w:lang w:eastAsia="es-ES"/>
        </w:rPr>
        <w:t xml:space="preserve">a obtenido </w:t>
      </w:r>
      <w:r w:rsidR="00195AFE">
        <w:rPr>
          <w:rFonts w:ascii="Arial" w:eastAsia="Times New Roman" w:hAnsi="Arial" w:cs="Arial"/>
          <w:bCs/>
          <w:sz w:val="24"/>
          <w:szCs w:val="24"/>
          <w:lang w:eastAsia="es-ES"/>
        </w:rPr>
        <w:t xml:space="preserve">unos </w:t>
      </w:r>
      <w:r w:rsidR="00195AFE" w:rsidRPr="00195AFE">
        <w:rPr>
          <w:rFonts w:ascii="Arial" w:eastAsia="Times New Roman" w:hAnsi="Arial" w:cs="Arial"/>
          <w:b/>
          <w:sz w:val="24"/>
          <w:szCs w:val="24"/>
          <w:lang w:eastAsia="es-ES"/>
        </w:rPr>
        <w:t xml:space="preserve">ingresos brutos por publicidad de </w:t>
      </w:r>
      <w:r w:rsidR="00FA44C7" w:rsidRPr="00195AFE">
        <w:rPr>
          <w:rFonts w:ascii="Arial" w:eastAsia="Times New Roman" w:hAnsi="Arial" w:cs="Arial"/>
          <w:b/>
          <w:sz w:val="24"/>
          <w:szCs w:val="24"/>
          <w:lang w:eastAsia="es-ES"/>
        </w:rPr>
        <w:t>171M€</w:t>
      </w:r>
      <w:r w:rsidR="00195AFE">
        <w:rPr>
          <w:rFonts w:ascii="Arial" w:eastAsia="Times New Roman" w:hAnsi="Arial" w:cs="Arial"/>
          <w:bCs/>
          <w:sz w:val="24"/>
          <w:szCs w:val="24"/>
          <w:lang w:eastAsia="es-ES"/>
        </w:rPr>
        <w:t>, de los que 167M€ corresponden a la gestión comercial de sus propios medios y 4M€ a la de medios ajenos</w:t>
      </w:r>
      <w:r w:rsidR="00195AFE" w:rsidRPr="00A726CD">
        <w:rPr>
          <w:rFonts w:ascii="Arial" w:eastAsia="Times New Roman" w:hAnsi="Arial" w:cs="Arial"/>
          <w:bCs/>
          <w:sz w:val="24"/>
          <w:szCs w:val="24"/>
          <w:lang w:eastAsia="es-ES"/>
        </w:rPr>
        <w:t>, partida que se ha incrementado un 3</w:t>
      </w:r>
      <w:r w:rsidR="00B362CC">
        <w:rPr>
          <w:rFonts w:ascii="Arial" w:eastAsia="Times New Roman" w:hAnsi="Arial" w:cs="Arial"/>
          <w:bCs/>
          <w:sz w:val="24"/>
          <w:szCs w:val="24"/>
          <w:lang w:eastAsia="es-ES"/>
        </w:rPr>
        <w:t>6</w:t>
      </w:r>
      <w:r w:rsidR="00195AFE" w:rsidRPr="00A726CD">
        <w:rPr>
          <w:rFonts w:ascii="Arial" w:eastAsia="Times New Roman" w:hAnsi="Arial" w:cs="Arial"/>
          <w:bCs/>
          <w:sz w:val="24"/>
          <w:szCs w:val="24"/>
          <w:lang w:eastAsia="es-ES"/>
        </w:rPr>
        <w:t>,</w:t>
      </w:r>
      <w:r w:rsidR="00B362CC">
        <w:rPr>
          <w:rFonts w:ascii="Arial" w:eastAsia="Times New Roman" w:hAnsi="Arial" w:cs="Arial"/>
          <w:bCs/>
          <w:sz w:val="24"/>
          <w:szCs w:val="24"/>
          <w:lang w:eastAsia="es-ES"/>
        </w:rPr>
        <w:t>5</w:t>
      </w:r>
      <w:r w:rsidR="00195AFE" w:rsidRPr="00A726CD">
        <w:rPr>
          <w:rFonts w:ascii="Arial" w:eastAsia="Times New Roman" w:hAnsi="Arial" w:cs="Arial"/>
          <w:bCs/>
          <w:sz w:val="24"/>
          <w:szCs w:val="24"/>
          <w:lang w:eastAsia="es-ES"/>
        </w:rPr>
        <w:t xml:space="preserve">% </w:t>
      </w:r>
      <w:r w:rsidR="00195AFE" w:rsidRPr="00A726CD">
        <w:rPr>
          <w:rFonts w:ascii="Arial" w:eastAsia="Times New Roman" w:hAnsi="Arial" w:cs="Arial"/>
          <w:bCs/>
          <w:sz w:val="24"/>
          <w:szCs w:val="24"/>
          <w:lang w:eastAsia="es-ES"/>
        </w:rPr>
        <w:lastRenderedPageBreak/>
        <w:t>respecto al primer trimestre de 2020</w:t>
      </w:r>
      <w:r w:rsidR="00195AFE">
        <w:rPr>
          <w:rFonts w:ascii="Arial" w:eastAsia="Times New Roman" w:hAnsi="Arial" w:cs="Arial"/>
          <w:bCs/>
          <w:sz w:val="24"/>
          <w:szCs w:val="24"/>
          <w:lang w:eastAsia="es-ES"/>
        </w:rPr>
        <w:t xml:space="preserve">. </w:t>
      </w:r>
      <w:r w:rsidR="00551760">
        <w:rPr>
          <w:rFonts w:ascii="Arial" w:eastAsia="Times New Roman" w:hAnsi="Arial" w:cs="Arial"/>
          <w:bCs/>
          <w:sz w:val="24"/>
          <w:szCs w:val="24"/>
          <w:lang w:eastAsia="es-ES"/>
        </w:rPr>
        <w:t xml:space="preserve">La compañía </w:t>
      </w:r>
      <w:r w:rsidR="00551760" w:rsidRPr="00551760">
        <w:rPr>
          <w:rFonts w:ascii="Arial" w:eastAsia="Times New Roman" w:hAnsi="Arial" w:cs="Arial"/>
          <w:bCs/>
          <w:sz w:val="24"/>
          <w:szCs w:val="24"/>
          <w:lang w:eastAsia="es-ES"/>
        </w:rPr>
        <w:t>representa el</w:t>
      </w:r>
      <w:r w:rsidR="00551760">
        <w:rPr>
          <w:rFonts w:ascii="Arial" w:eastAsia="Times New Roman" w:hAnsi="Arial" w:cs="Arial"/>
          <w:bCs/>
          <w:sz w:val="24"/>
          <w:szCs w:val="24"/>
          <w:lang w:eastAsia="es-ES"/>
        </w:rPr>
        <w:t xml:space="preserve"> </w:t>
      </w:r>
      <w:r w:rsidR="00551760" w:rsidRPr="00CD66FA">
        <w:rPr>
          <w:rFonts w:ascii="Arial" w:eastAsia="Times New Roman" w:hAnsi="Arial" w:cs="Arial"/>
          <w:b/>
          <w:sz w:val="24"/>
          <w:szCs w:val="24"/>
          <w:lang w:eastAsia="es-ES"/>
        </w:rPr>
        <w:t xml:space="preserve">30,6% de la inversión </w:t>
      </w:r>
      <w:r w:rsidR="00551760">
        <w:rPr>
          <w:rFonts w:ascii="Arial" w:eastAsia="Times New Roman" w:hAnsi="Arial" w:cs="Arial"/>
          <w:b/>
          <w:sz w:val="24"/>
          <w:szCs w:val="24"/>
          <w:lang w:eastAsia="es-ES"/>
        </w:rPr>
        <w:t xml:space="preserve">en </w:t>
      </w:r>
      <w:r w:rsidR="00551760" w:rsidRPr="00CD66FA">
        <w:rPr>
          <w:rFonts w:ascii="Arial" w:eastAsia="Times New Roman" w:hAnsi="Arial" w:cs="Arial"/>
          <w:b/>
          <w:sz w:val="24"/>
          <w:szCs w:val="24"/>
          <w:lang w:eastAsia="es-ES"/>
        </w:rPr>
        <w:t>el mercado audiovisual (TV + Digital)</w:t>
      </w:r>
      <w:r w:rsidR="00551760">
        <w:rPr>
          <w:rFonts w:ascii="Arial" w:eastAsia="Times New Roman" w:hAnsi="Arial" w:cs="Arial"/>
          <w:b/>
          <w:sz w:val="24"/>
          <w:szCs w:val="24"/>
          <w:lang w:eastAsia="es-ES"/>
        </w:rPr>
        <w:t xml:space="preserve"> </w:t>
      </w:r>
      <w:r w:rsidR="00551760">
        <w:rPr>
          <w:rFonts w:ascii="Arial" w:eastAsia="Times New Roman" w:hAnsi="Arial" w:cs="Arial"/>
          <w:bCs/>
          <w:sz w:val="24"/>
          <w:szCs w:val="24"/>
          <w:lang w:eastAsia="es-ES"/>
        </w:rPr>
        <w:t>en el periodo, según datos internos c</w:t>
      </w:r>
      <w:r w:rsidR="00551760" w:rsidRPr="00CD66FA">
        <w:rPr>
          <w:rFonts w:ascii="Arial" w:eastAsia="Times New Roman" w:hAnsi="Arial" w:cs="Arial"/>
          <w:bCs/>
          <w:sz w:val="24"/>
          <w:szCs w:val="24"/>
          <w:lang w:eastAsia="es-ES"/>
        </w:rPr>
        <w:t xml:space="preserve">alculados sobre las cifras </w:t>
      </w:r>
      <w:r w:rsidR="00551760">
        <w:rPr>
          <w:rFonts w:ascii="Arial" w:eastAsia="Times New Roman" w:hAnsi="Arial" w:cs="Arial"/>
          <w:bCs/>
          <w:sz w:val="24"/>
          <w:szCs w:val="24"/>
          <w:lang w:eastAsia="es-ES"/>
        </w:rPr>
        <w:t xml:space="preserve">de </w:t>
      </w:r>
      <w:r w:rsidR="00551760" w:rsidRPr="00CD66FA">
        <w:rPr>
          <w:rFonts w:ascii="Arial" w:eastAsia="Times New Roman" w:hAnsi="Arial" w:cs="Arial"/>
          <w:bCs/>
          <w:sz w:val="24"/>
          <w:szCs w:val="24"/>
          <w:lang w:eastAsia="es-ES"/>
        </w:rPr>
        <w:t>Infoadex</w:t>
      </w:r>
      <w:r w:rsidR="00551760">
        <w:rPr>
          <w:rFonts w:ascii="Arial" w:eastAsia="Times New Roman" w:hAnsi="Arial" w:cs="Arial"/>
          <w:bCs/>
          <w:sz w:val="24"/>
          <w:szCs w:val="24"/>
          <w:lang w:eastAsia="es-ES"/>
        </w:rPr>
        <w:t>.</w:t>
      </w:r>
    </w:p>
    <w:p w14:paraId="7A3493F9" w14:textId="77777777" w:rsidR="00195AFE" w:rsidRDefault="00195AFE" w:rsidP="00FB023A">
      <w:pPr>
        <w:spacing w:after="0" w:line="240" w:lineRule="auto"/>
        <w:jc w:val="both"/>
        <w:rPr>
          <w:rFonts w:ascii="Arial" w:eastAsia="Times New Roman" w:hAnsi="Arial" w:cs="Arial"/>
          <w:bCs/>
          <w:sz w:val="24"/>
          <w:szCs w:val="24"/>
          <w:lang w:eastAsia="es-ES"/>
        </w:rPr>
      </w:pPr>
    </w:p>
    <w:p w14:paraId="79964EF0" w14:textId="0C6C47B1" w:rsidR="00551760" w:rsidRDefault="0079412A" w:rsidP="00FB023A">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H</w:t>
      </w:r>
      <w:r w:rsidR="00195AFE">
        <w:rPr>
          <w:rFonts w:ascii="Arial" w:eastAsia="Times New Roman" w:hAnsi="Arial" w:cs="Arial"/>
          <w:bCs/>
          <w:sz w:val="24"/>
          <w:szCs w:val="24"/>
          <w:lang w:eastAsia="es-ES"/>
        </w:rPr>
        <w:t xml:space="preserve">a </w:t>
      </w:r>
      <w:r>
        <w:rPr>
          <w:rFonts w:ascii="Arial" w:eastAsia="Times New Roman" w:hAnsi="Arial" w:cs="Arial"/>
          <w:bCs/>
          <w:sz w:val="24"/>
          <w:szCs w:val="24"/>
          <w:lang w:eastAsia="es-ES"/>
        </w:rPr>
        <w:t xml:space="preserve">anotado, además, </w:t>
      </w:r>
      <w:r w:rsidR="00FA44C7" w:rsidRPr="00195AFE">
        <w:rPr>
          <w:rFonts w:ascii="Arial" w:eastAsia="Times New Roman" w:hAnsi="Arial" w:cs="Arial"/>
          <w:b/>
          <w:sz w:val="24"/>
          <w:szCs w:val="24"/>
          <w:lang w:eastAsia="es-ES"/>
        </w:rPr>
        <w:t xml:space="preserve">20,1M€ </w:t>
      </w:r>
      <w:r w:rsidR="00195AFE">
        <w:rPr>
          <w:rFonts w:ascii="Arial" w:eastAsia="Times New Roman" w:hAnsi="Arial" w:cs="Arial"/>
          <w:b/>
          <w:sz w:val="24"/>
          <w:szCs w:val="24"/>
          <w:lang w:eastAsia="es-ES"/>
        </w:rPr>
        <w:t xml:space="preserve">correspondientes a </w:t>
      </w:r>
      <w:r w:rsidR="00FA44C7" w:rsidRPr="00195AFE">
        <w:rPr>
          <w:rFonts w:ascii="Arial" w:eastAsia="Times New Roman" w:hAnsi="Arial" w:cs="Arial"/>
          <w:b/>
          <w:sz w:val="24"/>
          <w:szCs w:val="24"/>
          <w:lang w:eastAsia="es-ES"/>
        </w:rPr>
        <w:t>otros ingresos</w:t>
      </w:r>
      <w:r w:rsidR="00E54171">
        <w:rPr>
          <w:rFonts w:ascii="Arial" w:eastAsia="Times New Roman" w:hAnsi="Arial" w:cs="Arial"/>
          <w:bCs/>
          <w:sz w:val="24"/>
          <w:szCs w:val="24"/>
          <w:lang w:eastAsia="es-ES"/>
        </w:rPr>
        <w:t xml:space="preserve">, </w:t>
      </w:r>
      <w:r w:rsidR="00195AFE">
        <w:rPr>
          <w:rFonts w:ascii="Arial" w:eastAsia="Times New Roman" w:hAnsi="Arial" w:cs="Arial"/>
          <w:bCs/>
          <w:sz w:val="24"/>
          <w:szCs w:val="24"/>
          <w:lang w:eastAsia="es-ES"/>
        </w:rPr>
        <w:t xml:space="preserve">principalmente procedentes de la venta a terceros de la distribuidora Mediterráneo y de los ingresos digitales de la plataforma de suscripción Mitele PLUS, </w:t>
      </w:r>
      <w:r w:rsidR="00C13C06">
        <w:rPr>
          <w:rFonts w:ascii="Arial" w:eastAsia="Times New Roman" w:hAnsi="Arial" w:cs="Arial"/>
          <w:bCs/>
          <w:sz w:val="24"/>
          <w:szCs w:val="24"/>
          <w:lang w:eastAsia="es-ES"/>
        </w:rPr>
        <w:t xml:space="preserve">con </w:t>
      </w:r>
      <w:r w:rsidR="00C13C06" w:rsidRPr="008644AA">
        <w:rPr>
          <w:rFonts w:ascii="Arial" w:eastAsia="Times New Roman" w:hAnsi="Arial" w:cs="Arial"/>
          <w:b/>
          <w:sz w:val="24"/>
          <w:szCs w:val="24"/>
          <w:lang w:eastAsia="es-ES"/>
        </w:rPr>
        <w:t xml:space="preserve">208.000 suscriptores tras registrar </w:t>
      </w:r>
      <w:r w:rsidR="00195AFE" w:rsidRPr="008644AA">
        <w:rPr>
          <w:rFonts w:ascii="Arial" w:eastAsia="Times New Roman" w:hAnsi="Arial" w:cs="Arial"/>
          <w:b/>
          <w:sz w:val="24"/>
          <w:szCs w:val="24"/>
          <w:lang w:eastAsia="es-ES"/>
        </w:rPr>
        <w:t xml:space="preserve">un incremento del </w:t>
      </w:r>
      <w:r w:rsidR="00C13C06" w:rsidRPr="008644AA">
        <w:rPr>
          <w:rFonts w:ascii="Arial" w:eastAsia="Times New Roman" w:hAnsi="Arial" w:cs="Arial"/>
          <w:b/>
          <w:sz w:val="24"/>
          <w:szCs w:val="24"/>
          <w:lang w:eastAsia="es-ES"/>
        </w:rPr>
        <w:t>90%</w:t>
      </w:r>
      <w:r w:rsidR="00195AFE" w:rsidRPr="008644AA">
        <w:rPr>
          <w:rFonts w:ascii="Arial" w:eastAsia="Times New Roman" w:hAnsi="Arial" w:cs="Arial"/>
          <w:b/>
          <w:sz w:val="24"/>
          <w:szCs w:val="24"/>
          <w:lang w:eastAsia="es-ES"/>
        </w:rPr>
        <w:t xml:space="preserve"> en sus abonados </w:t>
      </w:r>
      <w:r w:rsidR="008644AA">
        <w:rPr>
          <w:rFonts w:ascii="Arial" w:eastAsia="Times New Roman" w:hAnsi="Arial" w:cs="Arial"/>
          <w:b/>
          <w:sz w:val="24"/>
          <w:szCs w:val="24"/>
          <w:lang w:eastAsia="es-ES"/>
        </w:rPr>
        <w:t xml:space="preserve">en el primer trimestre </w:t>
      </w:r>
      <w:r w:rsidR="00195AFE" w:rsidRPr="008644AA">
        <w:rPr>
          <w:rFonts w:ascii="Arial" w:eastAsia="Times New Roman" w:hAnsi="Arial" w:cs="Arial"/>
          <w:b/>
          <w:sz w:val="24"/>
          <w:szCs w:val="24"/>
          <w:lang w:eastAsia="es-ES"/>
        </w:rPr>
        <w:t>del año</w:t>
      </w:r>
      <w:r w:rsidR="00195AFE" w:rsidRPr="00AE6CC2">
        <w:rPr>
          <w:rFonts w:ascii="Arial" w:eastAsia="Times New Roman" w:hAnsi="Arial" w:cs="Arial"/>
          <w:bCs/>
          <w:sz w:val="24"/>
          <w:szCs w:val="24"/>
          <w:lang w:eastAsia="es-ES"/>
        </w:rPr>
        <w:t>.</w:t>
      </w:r>
      <w:r w:rsidR="00195AFE">
        <w:rPr>
          <w:rFonts w:ascii="Arial" w:eastAsia="Times New Roman" w:hAnsi="Arial" w:cs="Arial"/>
          <w:bCs/>
          <w:sz w:val="24"/>
          <w:szCs w:val="24"/>
          <w:lang w:eastAsia="es-ES"/>
        </w:rPr>
        <w:t xml:space="preserve"> </w:t>
      </w:r>
      <w:r w:rsidR="005032D7">
        <w:rPr>
          <w:rFonts w:ascii="Arial" w:eastAsia="Times New Roman" w:hAnsi="Arial" w:cs="Arial"/>
          <w:bCs/>
          <w:sz w:val="24"/>
          <w:szCs w:val="24"/>
          <w:lang w:eastAsia="es-ES"/>
        </w:rPr>
        <w:t>En este periodo, n</w:t>
      </w:r>
      <w:r w:rsidR="00551760">
        <w:rPr>
          <w:rFonts w:ascii="Arial" w:eastAsia="Times New Roman" w:hAnsi="Arial" w:cs="Arial"/>
          <w:bCs/>
          <w:sz w:val="24"/>
          <w:szCs w:val="24"/>
          <w:lang w:eastAsia="es-ES"/>
        </w:rPr>
        <w:t>o</w:t>
      </w:r>
      <w:r w:rsidR="00CD66FA">
        <w:rPr>
          <w:rFonts w:ascii="Arial" w:eastAsia="Times New Roman" w:hAnsi="Arial" w:cs="Arial"/>
          <w:bCs/>
          <w:sz w:val="24"/>
          <w:szCs w:val="24"/>
          <w:lang w:eastAsia="es-ES"/>
        </w:rPr>
        <w:t xml:space="preserve"> ha contado con la actividad cinematográfica de Telecinco Cinema, a diferencia del primer trimestre de 2020 con el estreno en salas de ‘ADÚ’.</w:t>
      </w:r>
      <w:r w:rsidR="00541E7F">
        <w:rPr>
          <w:rFonts w:ascii="Arial" w:eastAsia="Times New Roman" w:hAnsi="Arial" w:cs="Arial"/>
          <w:bCs/>
          <w:sz w:val="24"/>
          <w:szCs w:val="24"/>
          <w:lang w:eastAsia="es-ES"/>
        </w:rPr>
        <w:t xml:space="preserve"> </w:t>
      </w:r>
      <w:r w:rsidR="00541E7F" w:rsidRPr="00E531ED">
        <w:rPr>
          <w:rFonts w:ascii="Arial" w:eastAsia="Times New Roman" w:hAnsi="Arial" w:cs="Arial"/>
          <w:bCs/>
          <w:sz w:val="24"/>
          <w:szCs w:val="24"/>
          <w:lang w:eastAsia="es-ES"/>
        </w:rPr>
        <w:t xml:space="preserve">A lo largo de este año, </w:t>
      </w:r>
      <w:r w:rsidR="005F0D5D" w:rsidRPr="00E531ED">
        <w:rPr>
          <w:rFonts w:ascii="Arial" w:eastAsia="Times New Roman" w:hAnsi="Arial" w:cs="Arial"/>
          <w:bCs/>
          <w:sz w:val="24"/>
          <w:szCs w:val="24"/>
          <w:lang w:eastAsia="es-ES"/>
        </w:rPr>
        <w:t>llegarán a la gran pantalla</w:t>
      </w:r>
      <w:r w:rsidR="00541E7F" w:rsidRPr="00E531ED">
        <w:rPr>
          <w:rFonts w:ascii="Arial" w:eastAsia="Times New Roman" w:hAnsi="Arial" w:cs="Arial"/>
          <w:bCs/>
          <w:sz w:val="24"/>
          <w:szCs w:val="24"/>
          <w:lang w:eastAsia="es-ES"/>
        </w:rPr>
        <w:t xml:space="preserve"> la comedia ‘Operación Camarón’, la película de acción y aventuras ‘Malnazidos’ y el </w:t>
      </w:r>
      <w:r w:rsidR="00541E7F" w:rsidRPr="00E531ED">
        <w:rPr>
          <w:rFonts w:ascii="Arial" w:eastAsia="Times New Roman" w:hAnsi="Arial" w:cs="Arial"/>
          <w:bCs/>
          <w:i/>
          <w:iCs/>
          <w:sz w:val="24"/>
          <w:szCs w:val="24"/>
          <w:lang w:eastAsia="es-ES"/>
        </w:rPr>
        <w:t>thriller</w:t>
      </w:r>
      <w:r w:rsidR="00541E7F" w:rsidRPr="00E531ED">
        <w:rPr>
          <w:rFonts w:ascii="Arial" w:eastAsia="Times New Roman" w:hAnsi="Arial" w:cs="Arial"/>
          <w:bCs/>
          <w:sz w:val="24"/>
          <w:szCs w:val="24"/>
          <w:lang w:eastAsia="es-ES"/>
        </w:rPr>
        <w:t xml:space="preserve"> ‘Way Down’.</w:t>
      </w:r>
    </w:p>
    <w:p w14:paraId="3F72ABA9" w14:textId="77777777" w:rsidR="001058C3" w:rsidRDefault="001058C3" w:rsidP="00FB023A">
      <w:pPr>
        <w:spacing w:after="0" w:line="240" w:lineRule="auto"/>
        <w:jc w:val="both"/>
        <w:rPr>
          <w:rFonts w:ascii="Arial" w:eastAsia="Times New Roman" w:hAnsi="Arial" w:cs="Arial"/>
          <w:bCs/>
          <w:sz w:val="24"/>
          <w:szCs w:val="24"/>
          <w:lang w:eastAsia="es-ES"/>
        </w:rPr>
      </w:pPr>
    </w:p>
    <w:p w14:paraId="3FDD7999" w14:textId="02A82BF5" w:rsidR="00AC4CB5" w:rsidRDefault="00551760" w:rsidP="00FB023A">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w:t>
      </w:r>
      <w:r w:rsidR="00CD66FA">
        <w:rPr>
          <w:rFonts w:ascii="Arial" w:eastAsia="Courier" w:hAnsi="Arial" w:cs="Arial"/>
          <w:kern w:val="2"/>
          <w:sz w:val="24"/>
          <w:szCs w:val="24"/>
          <w:lang w:eastAsia="hi-IN" w:bidi="hi-IN"/>
        </w:rPr>
        <w:t xml:space="preserve"> gestión de los recursos </w:t>
      </w:r>
      <w:r w:rsidR="0079412A">
        <w:rPr>
          <w:rFonts w:ascii="Arial" w:eastAsia="Courier" w:hAnsi="Arial" w:cs="Arial"/>
          <w:kern w:val="2"/>
          <w:sz w:val="24"/>
          <w:szCs w:val="24"/>
          <w:lang w:eastAsia="hi-IN" w:bidi="hi-IN"/>
        </w:rPr>
        <w:t>en el primer trimestre</w:t>
      </w:r>
      <w:r w:rsidR="001058C3">
        <w:rPr>
          <w:rFonts w:ascii="Arial" w:eastAsia="Courier" w:hAnsi="Arial" w:cs="Arial"/>
          <w:kern w:val="2"/>
          <w:sz w:val="24"/>
          <w:szCs w:val="24"/>
          <w:lang w:eastAsia="hi-IN" w:bidi="hi-IN"/>
        </w:rPr>
        <w:t xml:space="preserve"> </w:t>
      </w:r>
      <w:r w:rsidR="00CD66FA">
        <w:rPr>
          <w:rFonts w:ascii="Arial" w:eastAsia="Courier" w:hAnsi="Arial" w:cs="Arial"/>
          <w:kern w:val="2"/>
          <w:sz w:val="24"/>
          <w:szCs w:val="24"/>
          <w:lang w:eastAsia="hi-IN" w:bidi="hi-IN"/>
        </w:rPr>
        <w:t xml:space="preserve">ha </w:t>
      </w:r>
      <w:r w:rsidR="0079412A">
        <w:rPr>
          <w:rFonts w:ascii="Arial" w:eastAsia="Courier" w:hAnsi="Arial" w:cs="Arial"/>
          <w:kern w:val="2"/>
          <w:sz w:val="24"/>
          <w:szCs w:val="24"/>
          <w:lang w:eastAsia="hi-IN" w:bidi="hi-IN"/>
        </w:rPr>
        <w:t xml:space="preserve">propiciado una </w:t>
      </w:r>
      <w:r w:rsidR="00CD66FA" w:rsidRPr="00CD66FA">
        <w:rPr>
          <w:rFonts w:ascii="Arial" w:eastAsia="Courier" w:hAnsi="Arial" w:cs="Arial"/>
          <w:b/>
          <w:bCs/>
          <w:kern w:val="2"/>
          <w:sz w:val="24"/>
          <w:szCs w:val="24"/>
          <w:lang w:eastAsia="hi-IN" w:bidi="hi-IN"/>
        </w:rPr>
        <w:t>reducción del 18,4% en sus costes totales hasta los 132,6M</w:t>
      </w:r>
      <w:r w:rsidR="00CD66FA" w:rsidRPr="00A726CD">
        <w:rPr>
          <w:rFonts w:ascii="Arial" w:eastAsia="Courier" w:hAnsi="Arial" w:cs="Arial"/>
          <w:b/>
          <w:bCs/>
          <w:kern w:val="2"/>
          <w:sz w:val="24"/>
          <w:szCs w:val="24"/>
          <w:lang w:eastAsia="hi-IN" w:bidi="hi-IN"/>
        </w:rPr>
        <w:t>€</w:t>
      </w:r>
      <w:r w:rsidR="00CD66FA" w:rsidRPr="00A726CD">
        <w:rPr>
          <w:rFonts w:ascii="Arial" w:eastAsia="Courier" w:hAnsi="Arial" w:cs="Arial"/>
          <w:kern w:val="2"/>
          <w:sz w:val="24"/>
          <w:szCs w:val="24"/>
          <w:lang w:eastAsia="hi-IN" w:bidi="hi-IN"/>
        </w:rPr>
        <w:t xml:space="preserve">, </w:t>
      </w:r>
      <w:r w:rsidR="00195AFE" w:rsidRPr="00A726CD">
        <w:rPr>
          <w:rFonts w:ascii="Arial" w:eastAsia="Times New Roman" w:hAnsi="Arial" w:cs="Arial"/>
          <w:bCs/>
          <w:sz w:val="24"/>
          <w:szCs w:val="24"/>
          <w:lang w:eastAsia="es-ES"/>
        </w:rPr>
        <w:t>frente a los 162,5M€ registrados entre enero y marzo de 2020</w:t>
      </w:r>
      <w:r w:rsidR="00195AFE" w:rsidRPr="00CD66FA">
        <w:rPr>
          <w:rFonts w:ascii="Arial" w:eastAsia="Times New Roman" w:hAnsi="Arial" w:cs="Arial"/>
          <w:bCs/>
          <w:sz w:val="24"/>
          <w:szCs w:val="24"/>
          <w:lang w:eastAsia="es-ES"/>
        </w:rPr>
        <w:t>.</w:t>
      </w:r>
    </w:p>
    <w:p w14:paraId="36327DA6" w14:textId="77777777" w:rsidR="00AC4CB5" w:rsidRDefault="00AC4CB5" w:rsidP="00FB023A">
      <w:pPr>
        <w:spacing w:after="0" w:line="240" w:lineRule="auto"/>
        <w:jc w:val="both"/>
        <w:rPr>
          <w:rFonts w:ascii="Arial" w:eastAsia="Times New Roman" w:hAnsi="Arial" w:cs="Arial"/>
          <w:bCs/>
          <w:sz w:val="24"/>
          <w:szCs w:val="24"/>
          <w:lang w:eastAsia="es-ES"/>
        </w:rPr>
      </w:pPr>
    </w:p>
    <w:p w14:paraId="58D79E90" w14:textId="2E8EC544" w:rsidR="001058C3" w:rsidRDefault="001058C3" w:rsidP="00FB023A">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Como resultado, Mediaset España ha obtenido un </w:t>
      </w:r>
      <w:r w:rsidRPr="001058C3">
        <w:rPr>
          <w:rFonts w:ascii="Arial" w:eastAsia="Times New Roman" w:hAnsi="Arial" w:cs="Arial"/>
          <w:b/>
          <w:sz w:val="24"/>
          <w:szCs w:val="24"/>
          <w:lang w:eastAsia="es-ES"/>
        </w:rPr>
        <w:t>EBITDA de 51,3M€</w:t>
      </w:r>
      <w:r>
        <w:rPr>
          <w:rFonts w:ascii="Arial" w:eastAsia="Times New Roman" w:hAnsi="Arial" w:cs="Arial"/>
          <w:bCs/>
          <w:sz w:val="24"/>
          <w:szCs w:val="24"/>
          <w:lang w:eastAsia="es-ES"/>
        </w:rPr>
        <w:t xml:space="preserve">, lo que supone un margen sobre ingresos netos del 27,9%, y un </w:t>
      </w:r>
      <w:r w:rsidRPr="001058C3">
        <w:rPr>
          <w:rFonts w:ascii="Arial" w:eastAsia="Times New Roman" w:hAnsi="Arial" w:cs="Arial"/>
          <w:b/>
          <w:sz w:val="24"/>
          <w:szCs w:val="24"/>
          <w:lang w:eastAsia="es-ES"/>
        </w:rPr>
        <w:t>EBIT de 47,1M€</w:t>
      </w:r>
      <w:r>
        <w:rPr>
          <w:rFonts w:ascii="Arial" w:eastAsia="Times New Roman" w:hAnsi="Arial" w:cs="Arial"/>
          <w:bCs/>
          <w:sz w:val="24"/>
          <w:szCs w:val="24"/>
          <w:lang w:eastAsia="es-ES"/>
        </w:rPr>
        <w:t>, que supone un margen sobre ingresos netos del 25,6%.</w:t>
      </w:r>
    </w:p>
    <w:p w14:paraId="51756236" w14:textId="1F4592A7" w:rsidR="001058C3" w:rsidRDefault="001058C3" w:rsidP="00FB023A">
      <w:pPr>
        <w:spacing w:after="0" w:line="240" w:lineRule="auto"/>
        <w:jc w:val="both"/>
        <w:rPr>
          <w:rFonts w:ascii="Arial" w:eastAsia="Times New Roman" w:hAnsi="Arial" w:cs="Arial"/>
          <w:bCs/>
          <w:sz w:val="24"/>
          <w:szCs w:val="24"/>
          <w:lang w:eastAsia="es-ES"/>
        </w:rPr>
      </w:pPr>
    </w:p>
    <w:p w14:paraId="4EDEB3D8" w14:textId="16E09E9B" w:rsidR="00AC4CB5" w:rsidRPr="00AC4CB5" w:rsidRDefault="00AC4CB5" w:rsidP="00FB023A">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grupo ha logrado una </w:t>
      </w:r>
      <w:r w:rsidRPr="002B0C3F">
        <w:rPr>
          <w:rFonts w:ascii="Arial" w:eastAsia="Times New Roman" w:hAnsi="Arial" w:cs="Arial"/>
          <w:b/>
          <w:sz w:val="24"/>
          <w:szCs w:val="24"/>
          <w:lang w:eastAsia="es-ES"/>
        </w:rPr>
        <w:t>generación de caja</w:t>
      </w:r>
      <w:r w:rsidRPr="007B2306">
        <w:rPr>
          <w:rFonts w:ascii="Arial" w:eastAsia="Times New Roman" w:hAnsi="Arial" w:cs="Arial"/>
          <w:b/>
          <w:sz w:val="24"/>
          <w:szCs w:val="24"/>
          <w:lang w:eastAsia="es-ES"/>
        </w:rPr>
        <w:t xml:space="preserve"> de</w:t>
      </w:r>
      <w:r>
        <w:rPr>
          <w:rFonts w:ascii="Arial" w:eastAsia="Times New Roman" w:hAnsi="Arial" w:cs="Arial"/>
          <w:bCs/>
          <w:sz w:val="24"/>
          <w:szCs w:val="24"/>
          <w:lang w:eastAsia="es-ES"/>
        </w:rPr>
        <w:t xml:space="preserve"> </w:t>
      </w:r>
      <w:r w:rsidRPr="00AC4CB5">
        <w:rPr>
          <w:rFonts w:ascii="Arial" w:eastAsia="Times New Roman" w:hAnsi="Arial" w:cs="Arial"/>
          <w:b/>
          <w:sz w:val="24"/>
          <w:szCs w:val="24"/>
          <w:lang w:eastAsia="es-ES"/>
        </w:rPr>
        <w:t>84,6</w:t>
      </w:r>
      <w:r w:rsidRPr="002B0C3F">
        <w:rPr>
          <w:rFonts w:ascii="Arial" w:eastAsia="Times New Roman" w:hAnsi="Arial" w:cs="Arial"/>
          <w:b/>
          <w:sz w:val="24"/>
          <w:szCs w:val="24"/>
          <w:lang w:eastAsia="es-ES"/>
        </w:rPr>
        <w:t>M</w:t>
      </w:r>
      <w:r w:rsidRPr="00147163">
        <w:rPr>
          <w:rFonts w:ascii="Arial" w:eastAsia="Times New Roman" w:hAnsi="Arial" w:cs="Arial"/>
          <w:b/>
          <w:sz w:val="24"/>
          <w:szCs w:val="24"/>
          <w:lang w:eastAsia="es-ES"/>
        </w:rPr>
        <w:t>€</w:t>
      </w:r>
      <w:r w:rsidR="007B2306" w:rsidRPr="007B2306">
        <w:rPr>
          <w:rFonts w:ascii="Arial" w:eastAsia="Times New Roman" w:hAnsi="Arial" w:cs="Arial"/>
          <w:bCs/>
          <w:sz w:val="24"/>
          <w:szCs w:val="24"/>
          <w:lang w:eastAsia="es-ES"/>
        </w:rPr>
        <w:t xml:space="preserve"> </w:t>
      </w:r>
      <w:r w:rsidR="007B2306" w:rsidRPr="00E531ED">
        <w:rPr>
          <w:rFonts w:ascii="Arial" w:eastAsia="Times New Roman" w:hAnsi="Arial" w:cs="Arial"/>
          <w:bCs/>
          <w:sz w:val="24"/>
          <w:szCs w:val="24"/>
          <w:lang w:eastAsia="es-ES"/>
        </w:rPr>
        <w:t>en el primer trimestre</w:t>
      </w:r>
      <w:r>
        <w:rPr>
          <w:rFonts w:ascii="Arial" w:eastAsia="Times New Roman" w:hAnsi="Arial" w:cs="Arial"/>
          <w:bCs/>
          <w:sz w:val="24"/>
          <w:szCs w:val="24"/>
          <w:lang w:eastAsia="es-ES"/>
        </w:rPr>
        <w:t xml:space="preserve"> y ha cerrado marzo con una </w:t>
      </w:r>
      <w:r>
        <w:rPr>
          <w:rFonts w:ascii="Arial" w:eastAsia="Times New Roman" w:hAnsi="Arial" w:cs="Arial"/>
          <w:b/>
          <w:sz w:val="24"/>
          <w:szCs w:val="24"/>
          <w:lang w:eastAsia="es-ES"/>
        </w:rPr>
        <w:t xml:space="preserve">posición financiera neta positiva </w:t>
      </w:r>
      <w:r>
        <w:rPr>
          <w:rFonts w:ascii="Arial" w:eastAsia="Times New Roman" w:hAnsi="Arial" w:cs="Arial"/>
          <w:bCs/>
          <w:sz w:val="24"/>
          <w:szCs w:val="24"/>
          <w:lang w:eastAsia="es-ES"/>
        </w:rPr>
        <w:t xml:space="preserve">de </w:t>
      </w:r>
      <w:r w:rsidRPr="00AC4CB5">
        <w:rPr>
          <w:rFonts w:ascii="Arial" w:eastAsia="Times New Roman" w:hAnsi="Arial" w:cs="Arial"/>
          <w:b/>
          <w:sz w:val="24"/>
          <w:szCs w:val="24"/>
          <w:lang w:eastAsia="es-ES"/>
        </w:rPr>
        <w:t>95,6M€</w:t>
      </w:r>
      <w:r>
        <w:rPr>
          <w:rFonts w:ascii="Arial" w:eastAsia="Times New Roman" w:hAnsi="Arial" w:cs="Arial"/>
          <w:bCs/>
          <w:sz w:val="24"/>
          <w:szCs w:val="24"/>
          <w:lang w:eastAsia="es-ES"/>
        </w:rPr>
        <w:t>.</w:t>
      </w:r>
    </w:p>
    <w:p w14:paraId="361FDBEE" w14:textId="77777777" w:rsidR="00195AFE" w:rsidRPr="00BA0D48" w:rsidRDefault="00195AFE" w:rsidP="00FB023A">
      <w:pPr>
        <w:spacing w:after="0" w:line="240" w:lineRule="auto"/>
        <w:jc w:val="both"/>
        <w:rPr>
          <w:rFonts w:ascii="Arial" w:eastAsia="Courier" w:hAnsi="Arial" w:cs="Arial"/>
          <w:kern w:val="2"/>
          <w:sz w:val="24"/>
          <w:szCs w:val="24"/>
          <w:lang w:eastAsia="hi-IN" w:bidi="hi-IN"/>
        </w:rPr>
      </w:pPr>
    </w:p>
    <w:p w14:paraId="353988B7" w14:textId="42315117" w:rsidR="003D0688" w:rsidRPr="000D4A6D" w:rsidRDefault="00F42D6F" w:rsidP="00FB023A">
      <w:pPr>
        <w:autoSpaceDE w:val="0"/>
        <w:spacing w:after="0" w:line="240" w:lineRule="auto"/>
        <w:jc w:val="both"/>
        <w:rPr>
          <w:color w:val="002C5F"/>
        </w:rPr>
      </w:pPr>
      <w:bookmarkStart w:id="0" w:name="_Hlk14797513"/>
      <w:r>
        <w:rPr>
          <w:rFonts w:ascii="Arial" w:hAnsi="Arial" w:cs="Arial"/>
          <w:b/>
          <w:bCs/>
          <w:color w:val="002C5F"/>
          <w:sz w:val="28"/>
          <w:szCs w:val="28"/>
          <w:lang w:eastAsia="hi-IN"/>
        </w:rPr>
        <w:t>L</w:t>
      </w:r>
      <w:r w:rsidR="00F56A26">
        <w:rPr>
          <w:rFonts w:ascii="Arial" w:hAnsi="Arial" w:cs="Arial"/>
          <w:b/>
          <w:bCs/>
          <w:color w:val="002C5F"/>
          <w:sz w:val="28"/>
          <w:szCs w:val="28"/>
          <w:lang w:eastAsia="hi-IN"/>
        </w:rPr>
        <w:t>íder entre el público más atractivo para los anunciantes</w:t>
      </w:r>
      <w:r w:rsidR="00D07A26">
        <w:rPr>
          <w:rFonts w:ascii="Arial" w:hAnsi="Arial" w:cs="Arial"/>
          <w:b/>
          <w:bCs/>
          <w:color w:val="002C5F"/>
          <w:sz w:val="28"/>
          <w:szCs w:val="28"/>
          <w:lang w:eastAsia="hi-IN"/>
        </w:rPr>
        <w:t xml:space="preserve"> y</w:t>
      </w:r>
      <w:r w:rsidR="00F56A26">
        <w:rPr>
          <w:rFonts w:ascii="Arial" w:hAnsi="Arial" w:cs="Arial"/>
          <w:b/>
          <w:bCs/>
          <w:color w:val="002C5F"/>
          <w:sz w:val="28"/>
          <w:szCs w:val="28"/>
          <w:lang w:eastAsia="hi-IN"/>
        </w:rPr>
        <w:t xml:space="preserve"> </w:t>
      </w:r>
      <w:r>
        <w:rPr>
          <w:rFonts w:ascii="Arial" w:hAnsi="Arial" w:cs="Arial"/>
          <w:b/>
          <w:bCs/>
          <w:color w:val="002C5F"/>
          <w:sz w:val="28"/>
          <w:szCs w:val="28"/>
          <w:lang w:eastAsia="hi-IN"/>
        </w:rPr>
        <w:t>en</w:t>
      </w:r>
      <w:r w:rsidR="00F56A26">
        <w:rPr>
          <w:rFonts w:ascii="Arial" w:hAnsi="Arial" w:cs="Arial"/>
          <w:b/>
          <w:bCs/>
          <w:color w:val="002C5F"/>
          <w:sz w:val="28"/>
          <w:szCs w:val="28"/>
          <w:lang w:eastAsia="hi-IN"/>
        </w:rPr>
        <w:t xml:space="preserve"> consumo</w:t>
      </w:r>
      <w:r w:rsidR="00D07A26">
        <w:rPr>
          <w:rFonts w:ascii="Arial" w:hAnsi="Arial" w:cs="Arial"/>
          <w:b/>
          <w:bCs/>
          <w:color w:val="002C5F"/>
          <w:sz w:val="28"/>
          <w:szCs w:val="28"/>
          <w:lang w:eastAsia="hi-IN"/>
        </w:rPr>
        <w:t xml:space="preserve"> digital</w:t>
      </w:r>
    </w:p>
    <w:p w14:paraId="2CE4C44E" w14:textId="77777777" w:rsidR="00AE6CC2" w:rsidRDefault="00AE6CC2" w:rsidP="00FB023A">
      <w:pPr>
        <w:autoSpaceDE w:val="0"/>
        <w:spacing w:after="0" w:line="240" w:lineRule="auto"/>
        <w:jc w:val="both"/>
        <w:rPr>
          <w:rFonts w:ascii="Arial" w:hAnsi="Arial" w:cs="Arial"/>
          <w:sz w:val="24"/>
          <w:szCs w:val="24"/>
          <w:lang w:eastAsia="hi-IN"/>
        </w:rPr>
      </w:pPr>
    </w:p>
    <w:p w14:paraId="0FA77BE6" w14:textId="7900B359" w:rsidR="00F56A26" w:rsidRDefault="00091C58" w:rsidP="00FB023A">
      <w:pPr>
        <w:autoSpaceDE w:val="0"/>
        <w:spacing w:after="0" w:line="240" w:lineRule="auto"/>
        <w:jc w:val="both"/>
        <w:rPr>
          <w:rFonts w:ascii="Arial" w:hAnsi="Arial" w:cs="Arial"/>
          <w:sz w:val="24"/>
          <w:szCs w:val="24"/>
          <w:lang w:eastAsia="hi-IN"/>
        </w:rPr>
      </w:pPr>
      <w:r w:rsidRPr="00091C58">
        <w:rPr>
          <w:rFonts w:ascii="Arial" w:hAnsi="Arial" w:cs="Arial"/>
          <w:sz w:val="24"/>
          <w:szCs w:val="24"/>
          <w:lang w:eastAsia="hi-IN"/>
        </w:rPr>
        <w:t>Mediaset España</w:t>
      </w:r>
      <w:r w:rsidR="00F56A26">
        <w:rPr>
          <w:rFonts w:ascii="Arial" w:hAnsi="Arial" w:cs="Arial"/>
          <w:sz w:val="24"/>
          <w:szCs w:val="24"/>
          <w:lang w:eastAsia="hi-IN"/>
        </w:rPr>
        <w:t xml:space="preserve"> (27,8%) ha sido en el primer trimestre el </w:t>
      </w:r>
      <w:r w:rsidR="00F56A26" w:rsidRPr="00F56A26">
        <w:rPr>
          <w:rFonts w:ascii="Arial" w:hAnsi="Arial" w:cs="Arial"/>
          <w:b/>
          <w:bCs/>
          <w:sz w:val="24"/>
          <w:szCs w:val="24"/>
          <w:lang w:eastAsia="hi-IN"/>
        </w:rPr>
        <w:t xml:space="preserve">grupo audiovisual preferido </w:t>
      </w:r>
      <w:bookmarkEnd w:id="0"/>
      <w:r w:rsidR="00F56A26" w:rsidRPr="00F56A26">
        <w:rPr>
          <w:rFonts w:ascii="Arial" w:hAnsi="Arial" w:cs="Arial"/>
          <w:b/>
          <w:bCs/>
          <w:sz w:val="24"/>
          <w:szCs w:val="24"/>
          <w:lang w:eastAsia="hi-IN"/>
        </w:rPr>
        <w:t xml:space="preserve">por el </w:t>
      </w:r>
      <w:r w:rsidR="00B2022A" w:rsidRPr="00E531ED">
        <w:rPr>
          <w:rFonts w:ascii="Arial" w:hAnsi="Arial" w:cs="Arial"/>
          <w:b/>
          <w:bCs/>
          <w:sz w:val="24"/>
          <w:szCs w:val="24"/>
          <w:lang w:eastAsia="hi-IN"/>
        </w:rPr>
        <w:t>segmento</w:t>
      </w:r>
      <w:r w:rsidR="00B2022A">
        <w:rPr>
          <w:rFonts w:ascii="Arial" w:hAnsi="Arial" w:cs="Arial"/>
          <w:b/>
          <w:bCs/>
          <w:sz w:val="24"/>
          <w:szCs w:val="24"/>
          <w:lang w:eastAsia="hi-IN"/>
        </w:rPr>
        <w:t xml:space="preserve"> </w:t>
      </w:r>
      <w:r w:rsidR="00F56A26" w:rsidRPr="00F56A26">
        <w:rPr>
          <w:rFonts w:ascii="Arial" w:hAnsi="Arial" w:cs="Arial"/>
          <w:b/>
          <w:bCs/>
          <w:sz w:val="24"/>
          <w:szCs w:val="24"/>
          <w:lang w:eastAsia="hi-IN"/>
        </w:rPr>
        <w:t>de la audiencia más atractivo para los anunciantes</w:t>
      </w:r>
      <w:r w:rsidR="00F56A26">
        <w:rPr>
          <w:rFonts w:ascii="Arial" w:hAnsi="Arial" w:cs="Arial"/>
          <w:sz w:val="24"/>
          <w:szCs w:val="24"/>
          <w:lang w:eastAsia="hi-IN"/>
        </w:rPr>
        <w:t>, integrado por los públicos más jóvenes, urbanos y dinámicos</w:t>
      </w:r>
      <w:r w:rsidR="005F0D5D">
        <w:rPr>
          <w:rFonts w:ascii="Arial" w:hAnsi="Arial" w:cs="Arial"/>
          <w:sz w:val="24"/>
          <w:szCs w:val="24"/>
          <w:lang w:eastAsia="hi-IN"/>
        </w:rPr>
        <w:t xml:space="preserve"> </w:t>
      </w:r>
      <w:r w:rsidR="005F0D5D" w:rsidRPr="00E531ED">
        <w:rPr>
          <w:rFonts w:ascii="Arial" w:hAnsi="Arial" w:cs="Arial"/>
          <w:sz w:val="24"/>
          <w:szCs w:val="24"/>
          <w:lang w:eastAsia="hi-IN"/>
        </w:rPr>
        <w:t>desde el punto de vista comercial</w:t>
      </w:r>
      <w:r w:rsidR="00F56A26">
        <w:rPr>
          <w:rFonts w:ascii="Arial" w:hAnsi="Arial" w:cs="Arial"/>
          <w:sz w:val="24"/>
          <w:szCs w:val="24"/>
          <w:lang w:eastAsia="hi-IN"/>
        </w:rPr>
        <w:t xml:space="preserve">, </w:t>
      </w:r>
      <w:r w:rsidR="00685C38">
        <w:rPr>
          <w:rFonts w:ascii="Arial" w:hAnsi="Arial" w:cs="Arial"/>
          <w:sz w:val="24"/>
          <w:szCs w:val="24"/>
          <w:lang w:eastAsia="hi-IN"/>
        </w:rPr>
        <w:t xml:space="preserve">al registrar </w:t>
      </w:r>
      <w:r w:rsidR="00F56A26">
        <w:rPr>
          <w:rFonts w:ascii="Arial" w:hAnsi="Arial" w:cs="Arial"/>
          <w:sz w:val="24"/>
          <w:szCs w:val="24"/>
          <w:lang w:eastAsia="hi-IN"/>
        </w:rPr>
        <w:t xml:space="preserve">un promedio en el conjunto de sus canales del </w:t>
      </w:r>
      <w:r w:rsidR="00F56A26" w:rsidRPr="00CD5571">
        <w:rPr>
          <w:rFonts w:ascii="Arial" w:hAnsi="Arial" w:cs="Arial"/>
          <w:sz w:val="24"/>
          <w:szCs w:val="24"/>
          <w:lang w:eastAsia="hi-IN"/>
        </w:rPr>
        <w:t xml:space="preserve">29,6% en el </w:t>
      </w:r>
      <w:r w:rsidR="00F56A26" w:rsidRPr="00CD5571">
        <w:rPr>
          <w:rFonts w:ascii="Arial" w:hAnsi="Arial" w:cs="Arial"/>
          <w:i/>
          <w:iCs/>
          <w:sz w:val="24"/>
          <w:szCs w:val="24"/>
          <w:lang w:eastAsia="hi-IN"/>
        </w:rPr>
        <w:t>target</w:t>
      </w:r>
      <w:r w:rsidR="00F56A26" w:rsidRPr="00CD5571">
        <w:rPr>
          <w:rFonts w:ascii="Arial" w:hAnsi="Arial" w:cs="Arial"/>
          <w:sz w:val="24"/>
          <w:szCs w:val="24"/>
          <w:lang w:eastAsia="hi-IN"/>
        </w:rPr>
        <w:t xml:space="preserve"> comercial,</w:t>
      </w:r>
      <w:r w:rsidR="00685C38" w:rsidRPr="00CD5571">
        <w:rPr>
          <w:rFonts w:ascii="Arial" w:hAnsi="Arial" w:cs="Arial"/>
          <w:sz w:val="24"/>
          <w:szCs w:val="24"/>
          <w:lang w:eastAsia="hi-IN"/>
        </w:rPr>
        <w:t xml:space="preserve"> </w:t>
      </w:r>
      <w:r w:rsidR="00F56A26" w:rsidRPr="00CD5571">
        <w:rPr>
          <w:rFonts w:ascii="Arial" w:hAnsi="Arial" w:cs="Arial"/>
          <w:sz w:val="24"/>
          <w:szCs w:val="24"/>
          <w:lang w:eastAsia="hi-IN"/>
        </w:rPr>
        <w:t xml:space="preserve">del 34,5% entre los espectadores de 13-24 años y del </w:t>
      </w:r>
      <w:r w:rsidR="00685C38" w:rsidRPr="00CD5571">
        <w:rPr>
          <w:rFonts w:ascii="Arial" w:hAnsi="Arial" w:cs="Arial"/>
          <w:sz w:val="24"/>
          <w:szCs w:val="24"/>
          <w:lang w:eastAsia="hi-IN"/>
        </w:rPr>
        <w:t>32,2% entre los de 25-34 años</w:t>
      </w:r>
      <w:r w:rsidR="00685C38">
        <w:rPr>
          <w:rFonts w:ascii="Arial" w:hAnsi="Arial" w:cs="Arial"/>
          <w:sz w:val="24"/>
          <w:szCs w:val="24"/>
          <w:lang w:eastAsia="hi-IN"/>
        </w:rPr>
        <w:t>.</w:t>
      </w:r>
      <w:r w:rsidR="00F56A26">
        <w:rPr>
          <w:rFonts w:ascii="Arial" w:hAnsi="Arial" w:cs="Arial"/>
          <w:sz w:val="24"/>
          <w:szCs w:val="24"/>
          <w:lang w:eastAsia="hi-IN"/>
        </w:rPr>
        <w:t xml:space="preserve"> </w:t>
      </w:r>
      <w:r w:rsidR="00F56A26" w:rsidRPr="00685C38">
        <w:rPr>
          <w:rFonts w:ascii="Arial" w:hAnsi="Arial" w:cs="Arial"/>
          <w:b/>
          <w:bCs/>
          <w:sz w:val="24"/>
          <w:szCs w:val="24"/>
          <w:lang w:eastAsia="hi-IN"/>
        </w:rPr>
        <w:t>Telecinco (15,1%)</w:t>
      </w:r>
      <w:r w:rsidR="00F56A26">
        <w:rPr>
          <w:rFonts w:ascii="Arial" w:hAnsi="Arial" w:cs="Arial"/>
          <w:sz w:val="24"/>
          <w:szCs w:val="24"/>
          <w:lang w:eastAsia="hi-IN"/>
        </w:rPr>
        <w:t xml:space="preserve"> ha sido la </w:t>
      </w:r>
      <w:r w:rsidR="00F56A26" w:rsidRPr="00CD5571">
        <w:rPr>
          <w:rFonts w:ascii="Arial" w:hAnsi="Arial" w:cs="Arial"/>
          <w:sz w:val="24"/>
          <w:szCs w:val="24"/>
          <w:lang w:eastAsia="hi-IN"/>
        </w:rPr>
        <w:t>cadena más vista</w:t>
      </w:r>
      <w:r w:rsidR="00F56A26">
        <w:rPr>
          <w:rFonts w:ascii="Arial" w:hAnsi="Arial" w:cs="Arial"/>
          <w:sz w:val="24"/>
          <w:szCs w:val="24"/>
          <w:lang w:eastAsia="hi-IN"/>
        </w:rPr>
        <w:t xml:space="preserve"> en el periodo por décimo año consecutivo con su mejor dato de los últimos 12 años.</w:t>
      </w:r>
      <w:r w:rsidR="00685C38">
        <w:rPr>
          <w:rFonts w:ascii="Arial" w:hAnsi="Arial" w:cs="Arial"/>
          <w:sz w:val="24"/>
          <w:szCs w:val="24"/>
          <w:lang w:eastAsia="hi-IN"/>
        </w:rPr>
        <w:t xml:space="preserve"> </w:t>
      </w:r>
      <w:r w:rsidR="00685C38" w:rsidRPr="00CD5571">
        <w:rPr>
          <w:rFonts w:ascii="Arial" w:hAnsi="Arial" w:cs="Arial"/>
          <w:b/>
          <w:bCs/>
          <w:sz w:val="24"/>
          <w:szCs w:val="24"/>
          <w:lang w:eastAsia="hi-IN"/>
        </w:rPr>
        <w:t>Cuatro (5,1%)</w:t>
      </w:r>
      <w:r w:rsidR="00685C38">
        <w:rPr>
          <w:rFonts w:ascii="Arial" w:hAnsi="Arial" w:cs="Arial"/>
          <w:sz w:val="24"/>
          <w:szCs w:val="24"/>
          <w:lang w:eastAsia="hi-IN"/>
        </w:rPr>
        <w:t xml:space="preserve"> ha sido la tercera cadena privada para el público joven con un 6,1% en el target 13-34 años.</w:t>
      </w:r>
    </w:p>
    <w:p w14:paraId="33E393EB" w14:textId="116A3EE8" w:rsidR="00F56A26" w:rsidRDefault="00F56A26" w:rsidP="00FB023A">
      <w:pPr>
        <w:autoSpaceDE w:val="0"/>
        <w:spacing w:after="0" w:line="240" w:lineRule="auto"/>
        <w:jc w:val="both"/>
        <w:rPr>
          <w:rFonts w:ascii="Arial" w:hAnsi="Arial" w:cs="Arial"/>
          <w:sz w:val="24"/>
          <w:szCs w:val="24"/>
          <w:lang w:eastAsia="hi-IN"/>
        </w:rPr>
      </w:pPr>
    </w:p>
    <w:p w14:paraId="33FBF3DE" w14:textId="4FADCD6A" w:rsidR="00685C38" w:rsidRDefault="00F42D6F" w:rsidP="00FB023A">
      <w:pPr>
        <w:autoSpaceDE w:val="0"/>
        <w:spacing w:after="0" w:line="240" w:lineRule="auto"/>
        <w:jc w:val="both"/>
        <w:rPr>
          <w:rFonts w:ascii="Arial" w:hAnsi="Arial" w:cs="Arial"/>
          <w:sz w:val="24"/>
          <w:szCs w:val="24"/>
          <w:lang w:eastAsia="hi-IN"/>
        </w:rPr>
      </w:pPr>
      <w:r>
        <w:rPr>
          <w:rFonts w:ascii="Arial" w:hAnsi="Arial" w:cs="Arial"/>
          <w:sz w:val="24"/>
          <w:szCs w:val="24"/>
          <w:lang w:eastAsia="hi-IN"/>
        </w:rPr>
        <w:t xml:space="preserve">En el </w:t>
      </w:r>
      <w:r w:rsidRPr="00F42D6F">
        <w:rPr>
          <w:rFonts w:ascii="Arial" w:hAnsi="Arial" w:cs="Arial"/>
          <w:b/>
          <w:bCs/>
          <w:sz w:val="24"/>
          <w:szCs w:val="24"/>
          <w:lang w:eastAsia="hi-IN"/>
        </w:rPr>
        <w:t>ámbito digital</w:t>
      </w:r>
      <w:r>
        <w:rPr>
          <w:rFonts w:ascii="Arial" w:hAnsi="Arial" w:cs="Arial"/>
          <w:sz w:val="24"/>
          <w:szCs w:val="24"/>
          <w:lang w:eastAsia="hi-IN"/>
        </w:rPr>
        <w:t xml:space="preserve">, ha sido el </w:t>
      </w:r>
      <w:r w:rsidRPr="00F42D6F">
        <w:rPr>
          <w:rFonts w:ascii="Arial" w:hAnsi="Arial" w:cs="Arial"/>
          <w:b/>
          <w:bCs/>
          <w:sz w:val="24"/>
          <w:szCs w:val="24"/>
          <w:lang w:eastAsia="hi-IN"/>
        </w:rPr>
        <w:t>medio de comunicación más visto</w:t>
      </w:r>
      <w:r>
        <w:rPr>
          <w:rFonts w:ascii="Arial" w:hAnsi="Arial" w:cs="Arial"/>
          <w:sz w:val="24"/>
          <w:szCs w:val="24"/>
          <w:lang w:eastAsia="hi-IN"/>
        </w:rPr>
        <w:t xml:space="preserve"> con un acumulado de </w:t>
      </w:r>
      <w:r w:rsidRPr="00CD5571">
        <w:rPr>
          <w:rFonts w:ascii="Arial" w:hAnsi="Arial" w:cs="Arial"/>
          <w:sz w:val="24"/>
          <w:szCs w:val="24"/>
          <w:lang w:eastAsia="hi-IN"/>
        </w:rPr>
        <w:t>1.640 millones de reproducciones, un 20% más</w:t>
      </w:r>
      <w:r>
        <w:rPr>
          <w:rFonts w:ascii="Arial" w:hAnsi="Arial" w:cs="Arial"/>
          <w:sz w:val="24"/>
          <w:szCs w:val="24"/>
          <w:lang w:eastAsia="hi-IN"/>
        </w:rPr>
        <w:t xml:space="preserve"> que en el primer trimestre de 2020 tras batir su récord histórico en marzo con 695 millones de vídeos vistos. </w:t>
      </w:r>
      <w:r w:rsidR="00616C95">
        <w:rPr>
          <w:rFonts w:ascii="Arial" w:hAnsi="Arial" w:cs="Arial"/>
          <w:sz w:val="24"/>
          <w:szCs w:val="24"/>
          <w:lang w:eastAsia="hi-IN"/>
        </w:rPr>
        <w:t xml:space="preserve">Ha alcanzado un promedio mensual de 19,1 millones de usuarios únicos, con su mejor marca histórica en marzo con 20,6 millones. Cuenta con la </w:t>
      </w:r>
      <w:r w:rsidR="00616C95" w:rsidRPr="00616C95">
        <w:rPr>
          <w:rFonts w:ascii="Arial" w:hAnsi="Arial" w:cs="Arial"/>
          <w:b/>
          <w:bCs/>
          <w:sz w:val="24"/>
          <w:szCs w:val="24"/>
          <w:lang w:eastAsia="hi-IN"/>
        </w:rPr>
        <w:t>plataforma</w:t>
      </w:r>
      <w:r w:rsidR="00CD5571">
        <w:rPr>
          <w:rFonts w:ascii="Arial" w:hAnsi="Arial" w:cs="Arial"/>
          <w:b/>
          <w:bCs/>
          <w:sz w:val="24"/>
          <w:szCs w:val="24"/>
          <w:lang w:eastAsia="hi-IN"/>
        </w:rPr>
        <w:t xml:space="preserve"> y el </w:t>
      </w:r>
      <w:r w:rsidR="00CD5571" w:rsidRPr="00753850">
        <w:rPr>
          <w:rFonts w:ascii="Arial" w:hAnsi="Arial" w:cs="Arial"/>
          <w:b/>
          <w:bCs/>
          <w:i/>
          <w:iCs/>
          <w:sz w:val="24"/>
          <w:szCs w:val="24"/>
          <w:lang w:eastAsia="hi-IN"/>
        </w:rPr>
        <w:t>site</w:t>
      </w:r>
      <w:r w:rsidR="00616C95" w:rsidRPr="00616C95">
        <w:rPr>
          <w:rFonts w:ascii="Arial" w:hAnsi="Arial" w:cs="Arial"/>
          <w:b/>
          <w:bCs/>
          <w:sz w:val="24"/>
          <w:szCs w:val="24"/>
          <w:lang w:eastAsia="hi-IN"/>
        </w:rPr>
        <w:t xml:space="preserve"> de televisión más consumidos</w:t>
      </w:r>
      <w:r w:rsidR="00616C95">
        <w:rPr>
          <w:rFonts w:ascii="Arial" w:hAnsi="Arial" w:cs="Arial"/>
          <w:sz w:val="24"/>
          <w:szCs w:val="24"/>
          <w:lang w:eastAsia="hi-IN"/>
        </w:rPr>
        <w:t xml:space="preserve">: </w:t>
      </w:r>
      <w:r w:rsidR="00616C95" w:rsidRPr="00616C95">
        <w:rPr>
          <w:rFonts w:ascii="Arial" w:hAnsi="Arial" w:cs="Arial"/>
          <w:b/>
          <w:bCs/>
          <w:sz w:val="24"/>
          <w:szCs w:val="24"/>
          <w:lang w:eastAsia="hi-IN"/>
        </w:rPr>
        <w:t>Mitele</w:t>
      </w:r>
      <w:r w:rsidR="00616C95">
        <w:rPr>
          <w:rFonts w:ascii="Arial" w:hAnsi="Arial" w:cs="Arial"/>
          <w:sz w:val="24"/>
          <w:szCs w:val="24"/>
          <w:lang w:eastAsia="hi-IN"/>
        </w:rPr>
        <w:t xml:space="preserve">, con 984 millones de reproducciones, y </w:t>
      </w:r>
      <w:r w:rsidR="00616C95" w:rsidRPr="00616C95">
        <w:rPr>
          <w:rFonts w:ascii="Arial" w:hAnsi="Arial" w:cs="Arial"/>
          <w:b/>
          <w:bCs/>
          <w:sz w:val="24"/>
          <w:szCs w:val="24"/>
          <w:lang w:eastAsia="hi-IN"/>
        </w:rPr>
        <w:t>Telecinco.es</w:t>
      </w:r>
      <w:r w:rsidR="00616C95">
        <w:rPr>
          <w:rFonts w:ascii="Arial" w:hAnsi="Arial" w:cs="Arial"/>
          <w:sz w:val="24"/>
          <w:szCs w:val="24"/>
          <w:lang w:eastAsia="hi-IN"/>
        </w:rPr>
        <w:t>, con 405 millones de vídeos, respectivamente.</w:t>
      </w:r>
    </w:p>
    <w:p w14:paraId="34A4D102" w14:textId="77777777" w:rsidR="00534370" w:rsidRDefault="00534370" w:rsidP="00FB023A">
      <w:pPr>
        <w:autoSpaceDE w:val="0"/>
        <w:spacing w:after="0" w:line="240" w:lineRule="auto"/>
        <w:jc w:val="both"/>
        <w:rPr>
          <w:rFonts w:ascii="Arial" w:hAnsi="Arial" w:cs="Arial"/>
          <w:sz w:val="24"/>
          <w:szCs w:val="24"/>
          <w:lang w:eastAsia="hi-IN"/>
        </w:rPr>
      </w:pPr>
    </w:p>
    <w:p w14:paraId="138CC544" w14:textId="59F11AD4" w:rsidR="00445A46" w:rsidRPr="00445A46" w:rsidRDefault="00445A46" w:rsidP="00FB023A">
      <w:pPr>
        <w:autoSpaceDE w:val="0"/>
        <w:spacing w:after="0" w:line="240" w:lineRule="auto"/>
        <w:jc w:val="right"/>
        <w:rPr>
          <w:rFonts w:ascii="Arial" w:hAnsi="Arial" w:cs="Arial"/>
          <w:i/>
          <w:sz w:val="16"/>
          <w:szCs w:val="16"/>
          <w:lang w:eastAsia="hi-IN"/>
        </w:rPr>
      </w:pPr>
      <w:r w:rsidRPr="00445A46">
        <w:rPr>
          <w:rFonts w:ascii="Arial" w:hAnsi="Arial" w:cs="Arial"/>
          <w:i/>
          <w:sz w:val="16"/>
          <w:szCs w:val="16"/>
          <w:lang w:eastAsia="hi-IN"/>
        </w:rPr>
        <w:t xml:space="preserve">Fuentes: Datos TV: Kantar Media. Datos Digital: elaboración propia a partir de los datos de </w:t>
      </w:r>
      <w:r w:rsidR="00CD5571">
        <w:rPr>
          <w:rFonts w:ascii="Arial" w:hAnsi="Arial" w:cs="Arial"/>
          <w:i/>
          <w:sz w:val="16"/>
          <w:szCs w:val="16"/>
          <w:lang w:eastAsia="hi-IN"/>
        </w:rPr>
        <w:t xml:space="preserve">MyMetrix Multiplataforma y </w:t>
      </w:r>
      <w:r w:rsidRPr="00445A46">
        <w:rPr>
          <w:rFonts w:ascii="Arial" w:hAnsi="Arial" w:cs="Arial"/>
          <w:i/>
          <w:sz w:val="16"/>
          <w:szCs w:val="16"/>
          <w:lang w:eastAsia="hi-IN"/>
        </w:rPr>
        <w:t>V</w:t>
      </w:r>
      <w:r w:rsidR="00CD5571">
        <w:rPr>
          <w:rFonts w:ascii="Arial" w:hAnsi="Arial" w:cs="Arial"/>
          <w:i/>
          <w:sz w:val="16"/>
          <w:szCs w:val="16"/>
          <w:lang w:eastAsia="hi-IN"/>
        </w:rPr>
        <w:t>ideometrix</w:t>
      </w:r>
      <w:r w:rsidRPr="00445A46">
        <w:rPr>
          <w:rFonts w:ascii="Arial" w:hAnsi="Arial" w:cs="Arial"/>
          <w:i/>
          <w:sz w:val="16"/>
          <w:szCs w:val="16"/>
          <w:lang w:eastAsia="hi-IN"/>
        </w:rPr>
        <w:t xml:space="preserve"> Multiplataforma de </w:t>
      </w:r>
      <w:r w:rsidR="00CD5571">
        <w:rPr>
          <w:rFonts w:ascii="Arial" w:hAnsi="Arial" w:cs="Arial"/>
          <w:i/>
          <w:sz w:val="16"/>
          <w:szCs w:val="16"/>
          <w:lang w:eastAsia="hi-IN"/>
        </w:rPr>
        <w:t>C</w:t>
      </w:r>
      <w:r w:rsidRPr="00445A46">
        <w:rPr>
          <w:rFonts w:ascii="Arial" w:hAnsi="Arial" w:cs="Arial"/>
          <w:i/>
          <w:sz w:val="16"/>
          <w:szCs w:val="16"/>
          <w:lang w:eastAsia="hi-IN"/>
        </w:rPr>
        <w:t>omScore. (enero-</w:t>
      </w:r>
      <w:r w:rsidR="00CD5571">
        <w:rPr>
          <w:rFonts w:ascii="Arial" w:hAnsi="Arial" w:cs="Arial"/>
          <w:i/>
          <w:sz w:val="16"/>
          <w:szCs w:val="16"/>
          <w:lang w:eastAsia="hi-IN"/>
        </w:rPr>
        <w:t xml:space="preserve">marzo </w:t>
      </w:r>
      <w:r w:rsidRPr="00445A46">
        <w:rPr>
          <w:rFonts w:ascii="Arial" w:hAnsi="Arial" w:cs="Arial"/>
          <w:i/>
          <w:sz w:val="16"/>
          <w:szCs w:val="16"/>
          <w:lang w:eastAsia="hi-IN"/>
        </w:rPr>
        <w:t>20</w:t>
      </w:r>
      <w:r w:rsidR="00534370">
        <w:rPr>
          <w:rFonts w:ascii="Arial" w:hAnsi="Arial" w:cs="Arial"/>
          <w:i/>
          <w:sz w:val="16"/>
          <w:szCs w:val="16"/>
          <w:lang w:eastAsia="hi-IN"/>
        </w:rPr>
        <w:t>2</w:t>
      </w:r>
      <w:r w:rsidR="00CD5571">
        <w:rPr>
          <w:rFonts w:ascii="Arial" w:hAnsi="Arial" w:cs="Arial"/>
          <w:i/>
          <w:sz w:val="16"/>
          <w:szCs w:val="16"/>
          <w:lang w:eastAsia="hi-IN"/>
        </w:rPr>
        <w:t>1</w:t>
      </w:r>
      <w:r w:rsidRPr="00445A46">
        <w:rPr>
          <w:rFonts w:ascii="Arial" w:hAnsi="Arial" w:cs="Arial"/>
          <w:i/>
          <w:sz w:val="16"/>
          <w:szCs w:val="16"/>
          <w:lang w:eastAsia="hi-IN"/>
        </w:rPr>
        <w:t>).</w:t>
      </w:r>
    </w:p>
    <w:sectPr w:rsidR="00445A46" w:rsidRPr="00445A46" w:rsidSect="003F225F">
      <w:footerReference w:type="default" r:id="rId9"/>
      <w:pgSz w:w="11906" w:h="16838"/>
      <w:pgMar w:top="1417" w:right="1416"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1B73" w14:textId="77777777" w:rsidR="00D54F70" w:rsidRDefault="00D54F70" w:rsidP="00B23904">
      <w:pPr>
        <w:spacing w:after="0" w:line="240" w:lineRule="auto"/>
      </w:pPr>
      <w:r>
        <w:separator/>
      </w:r>
    </w:p>
  </w:endnote>
  <w:endnote w:type="continuationSeparator" w:id="0">
    <w:p w14:paraId="2B6AC71E" w14:textId="77777777" w:rsidR="00D54F70" w:rsidRDefault="00D54F70"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6" name="Imagen 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7" name="Imagen 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2282" w14:textId="77777777" w:rsidR="00D54F70" w:rsidRDefault="00D54F70" w:rsidP="00B23904">
      <w:pPr>
        <w:spacing w:after="0" w:line="240" w:lineRule="auto"/>
      </w:pPr>
      <w:r>
        <w:separator/>
      </w:r>
    </w:p>
  </w:footnote>
  <w:footnote w:type="continuationSeparator" w:id="0">
    <w:p w14:paraId="0FA7E77C" w14:textId="77777777" w:rsidR="00D54F70" w:rsidRDefault="00D54F70"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1AB"/>
    <w:multiLevelType w:val="hybridMultilevel"/>
    <w:tmpl w:val="DBC6CE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F57E82"/>
    <w:multiLevelType w:val="hybridMultilevel"/>
    <w:tmpl w:val="8A28A39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35C03402"/>
    <w:multiLevelType w:val="hybridMultilevel"/>
    <w:tmpl w:val="9F364AA4"/>
    <w:lvl w:ilvl="0" w:tplc="07968A22">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444FC8"/>
    <w:multiLevelType w:val="hybridMultilevel"/>
    <w:tmpl w:val="46FA71D4"/>
    <w:lvl w:ilvl="0" w:tplc="C52E2442">
      <w:start w:val="6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B35271"/>
    <w:multiLevelType w:val="hybridMultilevel"/>
    <w:tmpl w:val="2F26269E"/>
    <w:lvl w:ilvl="0" w:tplc="A02E7620">
      <w:start w:val="40"/>
      <w:numFmt w:val="bullet"/>
      <w:lvlText w:val=""/>
      <w:lvlJc w:val="left"/>
      <w:pPr>
        <w:ind w:left="720" w:hanging="360"/>
      </w:pPr>
      <w:rPr>
        <w:rFonts w:ascii="Symbol" w:eastAsia="Courier"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6"/>
  </w:num>
  <w:num w:numId="6">
    <w:abstractNumId w:val="6"/>
  </w:num>
  <w:num w:numId="7">
    <w:abstractNumId w:val="3"/>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3087"/>
    <w:rsid w:val="000050A4"/>
    <w:rsid w:val="00006CFA"/>
    <w:rsid w:val="00011926"/>
    <w:rsid w:val="00012917"/>
    <w:rsid w:val="00013233"/>
    <w:rsid w:val="000138C6"/>
    <w:rsid w:val="000140B4"/>
    <w:rsid w:val="000163F0"/>
    <w:rsid w:val="000212F1"/>
    <w:rsid w:val="00024B33"/>
    <w:rsid w:val="00027458"/>
    <w:rsid w:val="00027AD9"/>
    <w:rsid w:val="00030A90"/>
    <w:rsid w:val="00032373"/>
    <w:rsid w:val="00035EC4"/>
    <w:rsid w:val="000407AA"/>
    <w:rsid w:val="00045BD2"/>
    <w:rsid w:val="00047B2C"/>
    <w:rsid w:val="00047E35"/>
    <w:rsid w:val="00047F3E"/>
    <w:rsid w:val="0005035B"/>
    <w:rsid w:val="00050E84"/>
    <w:rsid w:val="00051AA5"/>
    <w:rsid w:val="000522CF"/>
    <w:rsid w:val="000555BD"/>
    <w:rsid w:val="0005711B"/>
    <w:rsid w:val="000613E8"/>
    <w:rsid w:val="00063147"/>
    <w:rsid w:val="00065207"/>
    <w:rsid w:val="00065CC3"/>
    <w:rsid w:val="00067216"/>
    <w:rsid w:val="00071615"/>
    <w:rsid w:val="00073287"/>
    <w:rsid w:val="000747EC"/>
    <w:rsid w:val="00075DC4"/>
    <w:rsid w:val="0007784C"/>
    <w:rsid w:val="000840B1"/>
    <w:rsid w:val="00084CA8"/>
    <w:rsid w:val="00085E4A"/>
    <w:rsid w:val="0009087D"/>
    <w:rsid w:val="00091645"/>
    <w:rsid w:val="00091C58"/>
    <w:rsid w:val="000931B6"/>
    <w:rsid w:val="00095CEC"/>
    <w:rsid w:val="00096AB3"/>
    <w:rsid w:val="00097A0D"/>
    <w:rsid w:val="000A21D7"/>
    <w:rsid w:val="000A6775"/>
    <w:rsid w:val="000B28C5"/>
    <w:rsid w:val="000B3CAA"/>
    <w:rsid w:val="000C3507"/>
    <w:rsid w:val="000C3A96"/>
    <w:rsid w:val="000C45FD"/>
    <w:rsid w:val="000C7E2F"/>
    <w:rsid w:val="000D060D"/>
    <w:rsid w:val="000D1C7E"/>
    <w:rsid w:val="000D3F81"/>
    <w:rsid w:val="000D4837"/>
    <w:rsid w:val="000D4A6D"/>
    <w:rsid w:val="000D647A"/>
    <w:rsid w:val="000E09C0"/>
    <w:rsid w:val="000E1C48"/>
    <w:rsid w:val="000E2094"/>
    <w:rsid w:val="000E341B"/>
    <w:rsid w:val="000E3AE3"/>
    <w:rsid w:val="000F05E1"/>
    <w:rsid w:val="000F07E8"/>
    <w:rsid w:val="000F2339"/>
    <w:rsid w:val="000F5B74"/>
    <w:rsid w:val="00100A91"/>
    <w:rsid w:val="00103D84"/>
    <w:rsid w:val="00103EFE"/>
    <w:rsid w:val="0010407F"/>
    <w:rsid w:val="001058C3"/>
    <w:rsid w:val="001077FE"/>
    <w:rsid w:val="00110057"/>
    <w:rsid w:val="0011015B"/>
    <w:rsid w:val="0011061E"/>
    <w:rsid w:val="00112A35"/>
    <w:rsid w:val="001138CC"/>
    <w:rsid w:val="00113C46"/>
    <w:rsid w:val="00113D99"/>
    <w:rsid w:val="00114C94"/>
    <w:rsid w:val="001152BB"/>
    <w:rsid w:val="0011703B"/>
    <w:rsid w:val="001175FB"/>
    <w:rsid w:val="0012366D"/>
    <w:rsid w:val="001248B6"/>
    <w:rsid w:val="00125E63"/>
    <w:rsid w:val="0012601E"/>
    <w:rsid w:val="001267EC"/>
    <w:rsid w:val="00130EFE"/>
    <w:rsid w:val="00131CDF"/>
    <w:rsid w:val="0013428A"/>
    <w:rsid w:val="001352F2"/>
    <w:rsid w:val="00136682"/>
    <w:rsid w:val="001366A7"/>
    <w:rsid w:val="00141D6D"/>
    <w:rsid w:val="00144971"/>
    <w:rsid w:val="00144E93"/>
    <w:rsid w:val="00147163"/>
    <w:rsid w:val="00153687"/>
    <w:rsid w:val="00153694"/>
    <w:rsid w:val="00156F46"/>
    <w:rsid w:val="00161BE0"/>
    <w:rsid w:val="00161D63"/>
    <w:rsid w:val="0016433E"/>
    <w:rsid w:val="00164D47"/>
    <w:rsid w:val="00166173"/>
    <w:rsid w:val="00166A99"/>
    <w:rsid w:val="001700A3"/>
    <w:rsid w:val="00171DC0"/>
    <w:rsid w:val="00172232"/>
    <w:rsid w:val="00172EF6"/>
    <w:rsid w:val="0017311B"/>
    <w:rsid w:val="00175CAB"/>
    <w:rsid w:val="00177EB8"/>
    <w:rsid w:val="00180742"/>
    <w:rsid w:val="0018151D"/>
    <w:rsid w:val="001843BC"/>
    <w:rsid w:val="00184608"/>
    <w:rsid w:val="00184CC6"/>
    <w:rsid w:val="00184D48"/>
    <w:rsid w:val="00190688"/>
    <w:rsid w:val="00190CC3"/>
    <w:rsid w:val="00190DE4"/>
    <w:rsid w:val="0019234E"/>
    <w:rsid w:val="00195AFE"/>
    <w:rsid w:val="001A0B9F"/>
    <w:rsid w:val="001A1B0F"/>
    <w:rsid w:val="001A3529"/>
    <w:rsid w:val="001A5D75"/>
    <w:rsid w:val="001A5DDA"/>
    <w:rsid w:val="001B4812"/>
    <w:rsid w:val="001B7A1C"/>
    <w:rsid w:val="001B7C64"/>
    <w:rsid w:val="001C0FB0"/>
    <w:rsid w:val="001C7BBB"/>
    <w:rsid w:val="001D12C4"/>
    <w:rsid w:val="001D224B"/>
    <w:rsid w:val="001D3CF8"/>
    <w:rsid w:val="001D52E6"/>
    <w:rsid w:val="001D5EC8"/>
    <w:rsid w:val="001D6C1D"/>
    <w:rsid w:val="001D7A52"/>
    <w:rsid w:val="001E0592"/>
    <w:rsid w:val="001E1B4C"/>
    <w:rsid w:val="001E21FF"/>
    <w:rsid w:val="001E2214"/>
    <w:rsid w:val="001E3363"/>
    <w:rsid w:val="001E4897"/>
    <w:rsid w:val="001E6688"/>
    <w:rsid w:val="001E7B70"/>
    <w:rsid w:val="001F0581"/>
    <w:rsid w:val="001F09B8"/>
    <w:rsid w:val="001F178D"/>
    <w:rsid w:val="001F3539"/>
    <w:rsid w:val="001F3B8E"/>
    <w:rsid w:val="001F6547"/>
    <w:rsid w:val="001F65ED"/>
    <w:rsid w:val="00202459"/>
    <w:rsid w:val="00203967"/>
    <w:rsid w:val="002057DC"/>
    <w:rsid w:val="00207911"/>
    <w:rsid w:val="00207F21"/>
    <w:rsid w:val="00210673"/>
    <w:rsid w:val="00214DD5"/>
    <w:rsid w:val="00215A37"/>
    <w:rsid w:val="00216FCB"/>
    <w:rsid w:val="002205CD"/>
    <w:rsid w:val="00222508"/>
    <w:rsid w:val="00222A82"/>
    <w:rsid w:val="002303A1"/>
    <w:rsid w:val="00233C44"/>
    <w:rsid w:val="00233D06"/>
    <w:rsid w:val="0023403E"/>
    <w:rsid w:val="002352BD"/>
    <w:rsid w:val="002354AD"/>
    <w:rsid w:val="00235E64"/>
    <w:rsid w:val="00240C9B"/>
    <w:rsid w:val="00244286"/>
    <w:rsid w:val="002452AD"/>
    <w:rsid w:val="00247277"/>
    <w:rsid w:val="002525F9"/>
    <w:rsid w:val="00257760"/>
    <w:rsid w:val="002612B4"/>
    <w:rsid w:val="002661E5"/>
    <w:rsid w:val="002675A3"/>
    <w:rsid w:val="00271C59"/>
    <w:rsid w:val="00272A44"/>
    <w:rsid w:val="002737DB"/>
    <w:rsid w:val="00275C5D"/>
    <w:rsid w:val="00277963"/>
    <w:rsid w:val="00281C68"/>
    <w:rsid w:val="0028220B"/>
    <w:rsid w:val="00282C0B"/>
    <w:rsid w:val="00283516"/>
    <w:rsid w:val="00290595"/>
    <w:rsid w:val="002913CE"/>
    <w:rsid w:val="0029395D"/>
    <w:rsid w:val="00294193"/>
    <w:rsid w:val="00294750"/>
    <w:rsid w:val="00295945"/>
    <w:rsid w:val="002A0137"/>
    <w:rsid w:val="002A04EC"/>
    <w:rsid w:val="002A107A"/>
    <w:rsid w:val="002A1A69"/>
    <w:rsid w:val="002A4D4E"/>
    <w:rsid w:val="002A4E32"/>
    <w:rsid w:val="002A5055"/>
    <w:rsid w:val="002B0C3F"/>
    <w:rsid w:val="002B39D8"/>
    <w:rsid w:val="002B65D3"/>
    <w:rsid w:val="002C2095"/>
    <w:rsid w:val="002C6899"/>
    <w:rsid w:val="002D36AE"/>
    <w:rsid w:val="002D5B3C"/>
    <w:rsid w:val="002D6360"/>
    <w:rsid w:val="002E1E21"/>
    <w:rsid w:val="002E747C"/>
    <w:rsid w:val="002F2D3D"/>
    <w:rsid w:val="002F4990"/>
    <w:rsid w:val="002F50F3"/>
    <w:rsid w:val="002F520F"/>
    <w:rsid w:val="002F6DBF"/>
    <w:rsid w:val="00304E35"/>
    <w:rsid w:val="00305CD7"/>
    <w:rsid w:val="00305DB2"/>
    <w:rsid w:val="0030682F"/>
    <w:rsid w:val="00307DC4"/>
    <w:rsid w:val="0031234B"/>
    <w:rsid w:val="00312A95"/>
    <w:rsid w:val="00322B2F"/>
    <w:rsid w:val="00323930"/>
    <w:rsid w:val="003249F5"/>
    <w:rsid w:val="0032680A"/>
    <w:rsid w:val="00326FBD"/>
    <w:rsid w:val="00330316"/>
    <w:rsid w:val="00334E3F"/>
    <w:rsid w:val="0033693F"/>
    <w:rsid w:val="00342E51"/>
    <w:rsid w:val="00343A97"/>
    <w:rsid w:val="0034453B"/>
    <w:rsid w:val="0034617E"/>
    <w:rsid w:val="0035170E"/>
    <w:rsid w:val="00353B4A"/>
    <w:rsid w:val="00355A56"/>
    <w:rsid w:val="003652FB"/>
    <w:rsid w:val="003676C3"/>
    <w:rsid w:val="00367E68"/>
    <w:rsid w:val="003712A9"/>
    <w:rsid w:val="00372DA4"/>
    <w:rsid w:val="003736FB"/>
    <w:rsid w:val="0037698B"/>
    <w:rsid w:val="00377F08"/>
    <w:rsid w:val="0038050A"/>
    <w:rsid w:val="003809BA"/>
    <w:rsid w:val="003821A5"/>
    <w:rsid w:val="003823D9"/>
    <w:rsid w:val="00386689"/>
    <w:rsid w:val="00392EA9"/>
    <w:rsid w:val="003956B3"/>
    <w:rsid w:val="00396B63"/>
    <w:rsid w:val="00397A2C"/>
    <w:rsid w:val="003A2917"/>
    <w:rsid w:val="003A4BA7"/>
    <w:rsid w:val="003A544D"/>
    <w:rsid w:val="003A5CE9"/>
    <w:rsid w:val="003A6185"/>
    <w:rsid w:val="003A7919"/>
    <w:rsid w:val="003B08B0"/>
    <w:rsid w:val="003B243E"/>
    <w:rsid w:val="003B6867"/>
    <w:rsid w:val="003C14DD"/>
    <w:rsid w:val="003C348F"/>
    <w:rsid w:val="003D0688"/>
    <w:rsid w:val="003D5366"/>
    <w:rsid w:val="003D6DAD"/>
    <w:rsid w:val="003D7C2E"/>
    <w:rsid w:val="003D7C9B"/>
    <w:rsid w:val="003E2AA2"/>
    <w:rsid w:val="003E3DBD"/>
    <w:rsid w:val="003E50BE"/>
    <w:rsid w:val="003E53EE"/>
    <w:rsid w:val="003E5A1D"/>
    <w:rsid w:val="003F18E0"/>
    <w:rsid w:val="003F225F"/>
    <w:rsid w:val="003F24C4"/>
    <w:rsid w:val="003F463A"/>
    <w:rsid w:val="003F5CF2"/>
    <w:rsid w:val="003F686B"/>
    <w:rsid w:val="003F6E18"/>
    <w:rsid w:val="004037B6"/>
    <w:rsid w:val="00404D5A"/>
    <w:rsid w:val="00406AA2"/>
    <w:rsid w:val="004132D4"/>
    <w:rsid w:val="00421501"/>
    <w:rsid w:val="004215AD"/>
    <w:rsid w:val="004235F8"/>
    <w:rsid w:val="00424974"/>
    <w:rsid w:val="00425201"/>
    <w:rsid w:val="004255EA"/>
    <w:rsid w:val="00425B27"/>
    <w:rsid w:val="00426735"/>
    <w:rsid w:val="00426CDA"/>
    <w:rsid w:val="00440A7A"/>
    <w:rsid w:val="0044521F"/>
    <w:rsid w:val="00445A46"/>
    <w:rsid w:val="00447F1D"/>
    <w:rsid w:val="004520E3"/>
    <w:rsid w:val="00452316"/>
    <w:rsid w:val="0045510E"/>
    <w:rsid w:val="00455151"/>
    <w:rsid w:val="004557C6"/>
    <w:rsid w:val="00455861"/>
    <w:rsid w:val="004562BF"/>
    <w:rsid w:val="00457D50"/>
    <w:rsid w:val="004632BD"/>
    <w:rsid w:val="004632CE"/>
    <w:rsid w:val="00463FF7"/>
    <w:rsid w:val="00465118"/>
    <w:rsid w:val="004768C9"/>
    <w:rsid w:val="004824D6"/>
    <w:rsid w:val="00482AE5"/>
    <w:rsid w:val="00483FDA"/>
    <w:rsid w:val="00487B03"/>
    <w:rsid w:val="00487E64"/>
    <w:rsid w:val="00490F77"/>
    <w:rsid w:val="0049269F"/>
    <w:rsid w:val="00494BE5"/>
    <w:rsid w:val="004969D9"/>
    <w:rsid w:val="004A0A50"/>
    <w:rsid w:val="004A0B83"/>
    <w:rsid w:val="004A1061"/>
    <w:rsid w:val="004B0641"/>
    <w:rsid w:val="004B34DC"/>
    <w:rsid w:val="004B3861"/>
    <w:rsid w:val="004B4C97"/>
    <w:rsid w:val="004B646D"/>
    <w:rsid w:val="004B7F35"/>
    <w:rsid w:val="004C284A"/>
    <w:rsid w:val="004C5946"/>
    <w:rsid w:val="004C5D15"/>
    <w:rsid w:val="004C6BFF"/>
    <w:rsid w:val="004D1624"/>
    <w:rsid w:val="004D1EA3"/>
    <w:rsid w:val="004D6C0D"/>
    <w:rsid w:val="004D737B"/>
    <w:rsid w:val="004E0A18"/>
    <w:rsid w:val="004E0C4C"/>
    <w:rsid w:val="004E694C"/>
    <w:rsid w:val="004F03B5"/>
    <w:rsid w:val="004F4153"/>
    <w:rsid w:val="004F41A3"/>
    <w:rsid w:val="004F53A7"/>
    <w:rsid w:val="004F5C5E"/>
    <w:rsid w:val="004F5D88"/>
    <w:rsid w:val="00500173"/>
    <w:rsid w:val="005032D7"/>
    <w:rsid w:val="005076AD"/>
    <w:rsid w:val="0050779F"/>
    <w:rsid w:val="00511A0F"/>
    <w:rsid w:val="005125CC"/>
    <w:rsid w:val="00512A46"/>
    <w:rsid w:val="00515008"/>
    <w:rsid w:val="00517E8A"/>
    <w:rsid w:val="00523FC0"/>
    <w:rsid w:val="0053086C"/>
    <w:rsid w:val="00531F9E"/>
    <w:rsid w:val="00534370"/>
    <w:rsid w:val="00535639"/>
    <w:rsid w:val="00537C94"/>
    <w:rsid w:val="00540531"/>
    <w:rsid w:val="00541E7F"/>
    <w:rsid w:val="00543855"/>
    <w:rsid w:val="00543E76"/>
    <w:rsid w:val="00551760"/>
    <w:rsid w:val="00553CBC"/>
    <w:rsid w:val="00557770"/>
    <w:rsid w:val="0056053A"/>
    <w:rsid w:val="005613B7"/>
    <w:rsid w:val="0056268F"/>
    <w:rsid w:val="005638B7"/>
    <w:rsid w:val="00563C23"/>
    <w:rsid w:val="00563FE4"/>
    <w:rsid w:val="0056734C"/>
    <w:rsid w:val="0057057D"/>
    <w:rsid w:val="0057122B"/>
    <w:rsid w:val="00572D39"/>
    <w:rsid w:val="00576B91"/>
    <w:rsid w:val="00583658"/>
    <w:rsid w:val="00584008"/>
    <w:rsid w:val="0058543D"/>
    <w:rsid w:val="00585C63"/>
    <w:rsid w:val="00586EAE"/>
    <w:rsid w:val="005873A8"/>
    <w:rsid w:val="00590DB1"/>
    <w:rsid w:val="005A03A6"/>
    <w:rsid w:val="005A245A"/>
    <w:rsid w:val="005A248F"/>
    <w:rsid w:val="005A27AE"/>
    <w:rsid w:val="005A388C"/>
    <w:rsid w:val="005A48DC"/>
    <w:rsid w:val="005A61D8"/>
    <w:rsid w:val="005B32A8"/>
    <w:rsid w:val="005B48D7"/>
    <w:rsid w:val="005B5787"/>
    <w:rsid w:val="005C55C2"/>
    <w:rsid w:val="005C77B2"/>
    <w:rsid w:val="005D3454"/>
    <w:rsid w:val="005D5506"/>
    <w:rsid w:val="005D6817"/>
    <w:rsid w:val="005E139B"/>
    <w:rsid w:val="005E1992"/>
    <w:rsid w:val="005E1ADB"/>
    <w:rsid w:val="005F0D5D"/>
    <w:rsid w:val="005F29C0"/>
    <w:rsid w:val="005F42D2"/>
    <w:rsid w:val="005F5CFD"/>
    <w:rsid w:val="005F5D98"/>
    <w:rsid w:val="005F6BFF"/>
    <w:rsid w:val="00601743"/>
    <w:rsid w:val="00603D0E"/>
    <w:rsid w:val="00605FD2"/>
    <w:rsid w:val="00610620"/>
    <w:rsid w:val="0061424A"/>
    <w:rsid w:val="00616447"/>
    <w:rsid w:val="00616C95"/>
    <w:rsid w:val="00620EDF"/>
    <w:rsid w:val="0062300C"/>
    <w:rsid w:val="006310D7"/>
    <w:rsid w:val="00631707"/>
    <w:rsid w:val="00631C24"/>
    <w:rsid w:val="00632561"/>
    <w:rsid w:val="006336B7"/>
    <w:rsid w:val="00635542"/>
    <w:rsid w:val="00636E85"/>
    <w:rsid w:val="00637D2B"/>
    <w:rsid w:val="0064254A"/>
    <w:rsid w:val="00644320"/>
    <w:rsid w:val="00644E5A"/>
    <w:rsid w:val="00647706"/>
    <w:rsid w:val="00651F80"/>
    <w:rsid w:val="006544C4"/>
    <w:rsid w:val="00657C0E"/>
    <w:rsid w:val="0066206C"/>
    <w:rsid w:val="0066256A"/>
    <w:rsid w:val="006645A5"/>
    <w:rsid w:val="006667C7"/>
    <w:rsid w:val="00667ED8"/>
    <w:rsid w:val="00670CA2"/>
    <w:rsid w:val="00671B29"/>
    <w:rsid w:val="00681732"/>
    <w:rsid w:val="006848AB"/>
    <w:rsid w:val="006848E4"/>
    <w:rsid w:val="006854CF"/>
    <w:rsid w:val="00685C38"/>
    <w:rsid w:val="00690572"/>
    <w:rsid w:val="00691ABA"/>
    <w:rsid w:val="006928BB"/>
    <w:rsid w:val="00694431"/>
    <w:rsid w:val="00694BCA"/>
    <w:rsid w:val="00696910"/>
    <w:rsid w:val="006A01C9"/>
    <w:rsid w:val="006A3B43"/>
    <w:rsid w:val="006A3DBE"/>
    <w:rsid w:val="006A44A2"/>
    <w:rsid w:val="006B2F5D"/>
    <w:rsid w:val="006B3A2D"/>
    <w:rsid w:val="006B413B"/>
    <w:rsid w:val="006B5594"/>
    <w:rsid w:val="006C02CB"/>
    <w:rsid w:val="006C124C"/>
    <w:rsid w:val="006C487A"/>
    <w:rsid w:val="006C4CA6"/>
    <w:rsid w:val="006C5DBD"/>
    <w:rsid w:val="006D0258"/>
    <w:rsid w:val="006D0551"/>
    <w:rsid w:val="006D0CDE"/>
    <w:rsid w:val="006D4360"/>
    <w:rsid w:val="006D5990"/>
    <w:rsid w:val="006D5FBE"/>
    <w:rsid w:val="006E0918"/>
    <w:rsid w:val="006E25F2"/>
    <w:rsid w:val="006E4EEA"/>
    <w:rsid w:val="006F11F6"/>
    <w:rsid w:val="006F1766"/>
    <w:rsid w:val="006F3158"/>
    <w:rsid w:val="006F43DC"/>
    <w:rsid w:val="006F4AE0"/>
    <w:rsid w:val="006F6218"/>
    <w:rsid w:val="006F730D"/>
    <w:rsid w:val="007001F1"/>
    <w:rsid w:val="00702AC8"/>
    <w:rsid w:val="0070380E"/>
    <w:rsid w:val="007041F3"/>
    <w:rsid w:val="007073B1"/>
    <w:rsid w:val="00715179"/>
    <w:rsid w:val="00716656"/>
    <w:rsid w:val="00721FF9"/>
    <w:rsid w:val="00723954"/>
    <w:rsid w:val="00724500"/>
    <w:rsid w:val="007257F2"/>
    <w:rsid w:val="00731ACE"/>
    <w:rsid w:val="00732F48"/>
    <w:rsid w:val="0073370A"/>
    <w:rsid w:val="00733A71"/>
    <w:rsid w:val="00734FA1"/>
    <w:rsid w:val="0074099D"/>
    <w:rsid w:val="00740E8A"/>
    <w:rsid w:val="00741CF9"/>
    <w:rsid w:val="00743769"/>
    <w:rsid w:val="0074389E"/>
    <w:rsid w:val="00745293"/>
    <w:rsid w:val="00745671"/>
    <w:rsid w:val="00745826"/>
    <w:rsid w:val="007504E7"/>
    <w:rsid w:val="00752F99"/>
    <w:rsid w:val="00752FAC"/>
    <w:rsid w:val="00753850"/>
    <w:rsid w:val="00753AA6"/>
    <w:rsid w:val="00757146"/>
    <w:rsid w:val="00770A53"/>
    <w:rsid w:val="007726D6"/>
    <w:rsid w:val="00773A70"/>
    <w:rsid w:val="007764A4"/>
    <w:rsid w:val="007768F8"/>
    <w:rsid w:val="00777649"/>
    <w:rsid w:val="00781F0D"/>
    <w:rsid w:val="007837C5"/>
    <w:rsid w:val="007838BD"/>
    <w:rsid w:val="007852BB"/>
    <w:rsid w:val="00791889"/>
    <w:rsid w:val="00793756"/>
    <w:rsid w:val="0079412A"/>
    <w:rsid w:val="00796BBC"/>
    <w:rsid w:val="00796D3F"/>
    <w:rsid w:val="007A1A51"/>
    <w:rsid w:val="007A3767"/>
    <w:rsid w:val="007A3D5E"/>
    <w:rsid w:val="007A5647"/>
    <w:rsid w:val="007A61D3"/>
    <w:rsid w:val="007A66F8"/>
    <w:rsid w:val="007A7336"/>
    <w:rsid w:val="007A7DC9"/>
    <w:rsid w:val="007B0498"/>
    <w:rsid w:val="007B208F"/>
    <w:rsid w:val="007B21A0"/>
    <w:rsid w:val="007B2306"/>
    <w:rsid w:val="007B3CCD"/>
    <w:rsid w:val="007B5C81"/>
    <w:rsid w:val="007B710D"/>
    <w:rsid w:val="007C1B71"/>
    <w:rsid w:val="007C309B"/>
    <w:rsid w:val="007C50A5"/>
    <w:rsid w:val="007C6743"/>
    <w:rsid w:val="007C6AF1"/>
    <w:rsid w:val="007C6FB0"/>
    <w:rsid w:val="007D01AC"/>
    <w:rsid w:val="007D2AF7"/>
    <w:rsid w:val="007D414A"/>
    <w:rsid w:val="007D4D0B"/>
    <w:rsid w:val="007D6816"/>
    <w:rsid w:val="007D6F8F"/>
    <w:rsid w:val="007D754F"/>
    <w:rsid w:val="007E0FDC"/>
    <w:rsid w:val="007E49A5"/>
    <w:rsid w:val="007E4C37"/>
    <w:rsid w:val="007E7EF8"/>
    <w:rsid w:val="007F20B3"/>
    <w:rsid w:val="007F28F1"/>
    <w:rsid w:val="007F468A"/>
    <w:rsid w:val="007F4945"/>
    <w:rsid w:val="007F4EFA"/>
    <w:rsid w:val="00803B59"/>
    <w:rsid w:val="00806DBC"/>
    <w:rsid w:val="00810587"/>
    <w:rsid w:val="00810A35"/>
    <w:rsid w:val="00810AAA"/>
    <w:rsid w:val="0081386C"/>
    <w:rsid w:val="00814AC7"/>
    <w:rsid w:val="0081711D"/>
    <w:rsid w:val="008219FF"/>
    <w:rsid w:val="00822C18"/>
    <w:rsid w:val="008308A6"/>
    <w:rsid w:val="0083092C"/>
    <w:rsid w:val="008312C4"/>
    <w:rsid w:val="00833373"/>
    <w:rsid w:val="00833D19"/>
    <w:rsid w:val="00834386"/>
    <w:rsid w:val="0083667C"/>
    <w:rsid w:val="00844111"/>
    <w:rsid w:val="008446EA"/>
    <w:rsid w:val="00844BAC"/>
    <w:rsid w:val="00844CC9"/>
    <w:rsid w:val="00845468"/>
    <w:rsid w:val="00847A5B"/>
    <w:rsid w:val="00851463"/>
    <w:rsid w:val="008567BA"/>
    <w:rsid w:val="00860457"/>
    <w:rsid w:val="00861575"/>
    <w:rsid w:val="00861A13"/>
    <w:rsid w:val="00863267"/>
    <w:rsid w:val="008634B7"/>
    <w:rsid w:val="008644AA"/>
    <w:rsid w:val="0086591C"/>
    <w:rsid w:val="00866F89"/>
    <w:rsid w:val="008676D8"/>
    <w:rsid w:val="008717F2"/>
    <w:rsid w:val="00873055"/>
    <w:rsid w:val="008755E2"/>
    <w:rsid w:val="00875F77"/>
    <w:rsid w:val="008772FA"/>
    <w:rsid w:val="0087748F"/>
    <w:rsid w:val="008812CF"/>
    <w:rsid w:val="0088667E"/>
    <w:rsid w:val="008911D8"/>
    <w:rsid w:val="008917B0"/>
    <w:rsid w:val="00891878"/>
    <w:rsid w:val="00893670"/>
    <w:rsid w:val="008970A6"/>
    <w:rsid w:val="008A4B91"/>
    <w:rsid w:val="008A7087"/>
    <w:rsid w:val="008B12FE"/>
    <w:rsid w:val="008B13BB"/>
    <w:rsid w:val="008B225A"/>
    <w:rsid w:val="008B31F0"/>
    <w:rsid w:val="008B7BB9"/>
    <w:rsid w:val="008C5F60"/>
    <w:rsid w:val="008D4F36"/>
    <w:rsid w:val="008D6430"/>
    <w:rsid w:val="008E07D6"/>
    <w:rsid w:val="008E1331"/>
    <w:rsid w:val="008E464F"/>
    <w:rsid w:val="008E5A4E"/>
    <w:rsid w:val="008F5589"/>
    <w:rsid w:val="009010E3"/>
    <w:rsid w:val="009028CB"/>
    <w:rsid w:val="0090436C"/>
    <w:rsid w:val="0090590D"/>
    <w:rsid w:val="00905BD0"/>
    <w:rsid w:val="00905BF0"/>
    <w:rsid w:val="00906057"/>
    <w:rsid w:val="00906D32"/>
    <w:rsid w:val="00906D7D"/>
    <w:rsid w:val="00907E55"/>
    <w:rsid w:val="0091021A"/>
    <w:rsid w:val="009104DC"/>
    <w:rsid w:val="00910D29"/>
    <w:rsid w:val="00911A0A"/>
    <w:rsid w:val="00913E64"/>
    <w:rsid w:val="00916312"/>
    <w:rsid w:val="00920035"/>
    <w:rsid w:val="009235FC"/>
    <w:rsid w:val="00923EC4"/>
    <w:rsid w:val="0092559C"/>
    <w:rsid w:val="00932895"/>
    <w:rsid w:val="0093466C"/>
    <w:rsid w:val="00935030"/>
    <w:rsid w:val="0093672F"/>
    <w:rsid w:val="00944A93"/>
    <w:rsid w:val="0094664B"/>
    <w:rsid w:val="009474BA"/>
    <w:rsid w:val="009535DA"/>
    <w:rsid w:val="00953D36"/>
    <w:rsid w:val="009547B6"/>
    <w:rsid w:val="00954B36"/>
    <w:rsid w:val="00955714"/>
    <w:rsid w:val="009567C2"/>
    <w:rsid w:val="00960906"/>
    <w:rsid w:val="009615AB"/>
    <w:rsid w:val="009730D6"/>
    <w:rsid w:val="009753AB"/>
    <w:rsid w:val="009779D8"/>
    <w:rsid w:val="00980002"/>
    <w:rsid w:val="0098226E"/>
    <w:rsid w:val="00982B57"/>
    <w:rsid w:val="0098601B"/>
    <w:rsid w:val="00987089"/>
    <w:rsid w:val="009935A8"/>
    <w:rsid w:val="009A0BBA"/>
    <w:rsid w:val="009A4125"/>
    <w:rsid w:val="009A4771"/>
    <w:rsid w:val="009B147A"/>
    <w:rsid w:val="009B5D35"/>
    <w:rsid w:val="009B64EF"/>
    <w:rsid w:val="009C0B72"/>
    <w:rsid w:val="009C1573"/>
    <w:rsid w:val="009C271D"/>
    <w:rsid w:val="009C2F2B"/>
    <w:rsid w:val="009C412A"/>
    <w:rsid w:val="009C643B"/>
    <w:rsid w:val="009D0E93"/>
    <w:rsid w:val="009D21D9"/>
    <w:rsid w:val="009D2323"/>
    <w:rsid w:val="009E2D7D"/>
    <w:rsid w:val="009E772D"/>
    <w:rsid w:val="009F3E48"/>
    <w:rsid w:val="009F4DA2"/>
    <w:rsid w:val="009F7411"/>
    <w:rsid w:val="009F79B4"/>
    <w:rsid w:val="00A00BBC"/>
    <w:rsid w:val="00A037CC"/>
    <w:rsid w:val="00A03A5D"/>
    <w:rsid w:val="00A0492C"/>
    <w:rsid w:val="00A076F4"/>
    <w:rsid w:val="00A11777"/>
    <w:rsid w:val="00A139F3"/>
    <w:rsid w:val="00A164A5"/>
    <w:rsid w:val="00A16E2C"/>
    <w:rsid w:val="00A16E78"/>
    <w:rsid w:val="00A1745D"/>
    <w:rsid w:val="00A17C6C"/>
    <w:rsid w:val="00A17D2A"/>
    <w:rsid w:val="00A20A7D"/>
    <w:rsid w:val="00A23562"/>
    <w:rsid w:val="00A236A4"/>
    <w:rsid w:val="00A23985"/>
    <w:rsid w:val="00A31276"/>
    <w:rsid w:val="00A32CFA"/>
    <w:rsid w:val="00A353E0"/>
    <w:rsid w:val="00A4174D"/>
    <w:rsid w:val="00A41F43"/>
    <w:rsid w:val="00A517A9"/>
    <w:rsid w:val="00A51934"/>
    <w:rsid w:val="00A55073"/>
    <w:rsid w:val="00A56238"/>
    <w:rsid w:val="00A60476"/>
    <w:rsid w:val="00A63DC3"/>
    <w:rsid w:val="00A64507"/>
    <w:rsid w:val="00A65A79"/>
    <w:rsid w:val="00A7006F"/>
    <w:rsid w:val="00A726CD"/>
    <w:rsid w:val="00A74063"/>
    <w:rsid w:val="00A82776"/>
    <w:rsid w:val="00A8624D"/>
    <w:rsid w:val="00A86C8A"/>
    <w:rsid w:val="00A875C5"/>
    <w:rsid w:val="00A91106"/>
    <w:rsid w:val="00A913CA"/>
    <w:rsid w:val="00A9237A"/>
    <w:rsid w:val="00A93122"/>
    <w:rsid w:val="00A959E3"/>
    <w:rsid w:val="00A971AA"/>
    <w:rsid w:val="00A97C73"/>
    <w:rsid w:val="00AA0956"/>
    <w:rsid w:val="00AA207B"/>
    <w:rsid w:val="00AA3657"/>
    <w:rsid w:val="00AA5384"/>
    <w:rsid w:val="00AA656E"/>
    <w:rsid w:val="00AA7E3E"/>
    <w:rsid w:val="00AB2E02"/>
    <w:rsid w:val="00AB4693"/>
    <w:rsid w:val="00AB4BC6"/>
    <w:rsid w:val="00AC0625"/>
    <w:rsid w:val="00AC4CB5"/>
    <w:rsid w:val="00AC5C07"/>
    <w:rsid w:val="00AC6255"/>
    <w:rsid w:val="00AC676C"/>
    <w:rsid w:val="00AC7402"/>
    <w:rsid w:val="00AD009A"/>
    <w:rsid w:val="00AD11AC"/>
    <w:rsid w:val="00AD22F6"/>
    <w:rsid w:val="00AD2AFC"/>
    <w:rsid w:val="00AD5815"/>
    <w:rsid w:val="00AE009F"/>
    <w:rsid w:val="00AE0848"/>
    <w:rsid w:val="00AE27B4"/>
    <w:rsid w:val="00AE6CC2"/>
    <w:rsid w:val="00AE7159"/>
    <w:rsid w:val="00AF0882"/>
    <w:rsid w:val="00AF5196"/>
    <w:rsid w:val="00AF5BA4"/>
    <w:rsid w:val="00AF61D8"/>
    <w:rsid w:val="00AF6344"/>
    <w:rsid w:val="00AF7A85"/>
    <w:rsid w:val="00B0274A"/>
    <w:rsid w:val="00B0654B"/>
    <w:rsid w:val="00B108BD"/>
    <w:rsid w:val="00B114E2"/>
    <w:rsid w:val="00B13926"/>
    <w:rsid w:val="00B13E17"/>
    <w:rsid w:val="00B145A4"/>
    <w:rsid w:val="00B156D5"/>
    <w:rsid w:val="00B17E1A"/>
    <w:rsid w:val="00B2022A"/>
    <w:rsid w:val="00B21695"/>
    <w:rsid w:val="00B22075"/>
    <w:rsid w:val="00B23904"/>
    <w:rsid w:val="00B23C99"/>
    <w:rsid w:val="00B2476B"/>
    <w:rsid w:val="00B32D80"/>
    <w:rsid w:val="00B334F4"/>
    <w:rsid w:val="00B33EBC"/>
    <w:rsid w:val="00B34AB2"/>
    <w:rsid w:val="00B352B6"/>
    <w:rsid w:val="00B362CC"/>
    <w:rsid w:val="00B36E4A"/>
    <w:rsid w:val="00B371FB"/>
    <w:rsid w:val="00B40062"/>
    <w:rsid w:val="00B403B4"/>
    <w:rsid w:val="00B40505"/>
    <w:rsid w:val="00B43A5E"/>
    <w:rsid w:val="00B46C18"/>
    <w:rsid w:val="00B47D9F"/>
    <w:rsid w:val="00B53619"/>
    <w:rsid w:val="00B537A5"/>
    <w:rsid w:val="00B53B9E"/>
    <w:rsid w:val="00B55500"/>
    <w:rsid w:val="00B565CD"/>
    <w:rsid w:val="00B632E1"/>
    <w:rsid w:val="00B6333B"/>
    <w:rsid w:val="00B64138"/>
    <w:rsid w:val="00B65034"/>
    <w:rsid w:val="00B67631"/>
    <w:rsid w:val="00B70409"/>
    <w:rsid w:val="00B70AB7"/>
    <w:rsid w:val="00B77C6F"/>
    <w:rsid w:val="00B81C90"/>
    <w:rsid w:val="00B83EFF"/>
    <w:rsid w:val="00B84A96"/>
    <w:rsid w:val="00B85915"/>
    <w:rsid w:val="00B8647A"/>
    <w:rsid w:val="00B8778D"/>
    <w:rsid w:val="00B9274A"/>
    <w:rsid w:val="00B943D8"/>
    <w:rsid w:val="00B9484F"/>
    <w:rsid w:val="00B95839"/>
    <w:rsid w:val="00BA0D48"/>
    <w:rsid w:val="00BA0E2B"/>
    <w:rsid w:val="00BA2E77"/>
    <w:rsid w:val="00BA2F64"/>
    <w:rsid w:val="00BA3B72"/>
    <w:rsid w:val="00BA6A57"/>
    <w:rsid w:val="00BB031F"/>
    <w:rsid w:val="00BB2914"/>
    <w:rsid w:val="00BB3AAD"/>
    <w:rsid w:val="00BB45FB"/>
    <w:rsid w:val="00BB5B79"/>
    <w:rsid w:val="00BB6B6C"/>
    <w:rsid w:val="00BB6CFE"/>
    <w:rsid w:val="00BC2E2F"/>
    <w:rsid w:val="00BC519B"/>
    <w:rsid w:val="00BD2950"/>
    <w:rsid w:val="00BD3B97"/>
    <w:rsid w:val="00BD4200"/>
    <w:rsid w:val="00BE1BE1"/>
    <w:rsid w:val="00BE1DAC"/>
    <w:rsid w:val="00BF1C61"/>
    <w:rsid w:val="00BF28E1"/>
    <w:rsid w:val="00BF2CDA"/>
    <w:rsid w:val="00C06BB1"/>
    <w:rsid w:val="00C0779C"/>
    <w:rsid w:val="00C07874"/>
    <w:rsid w:val="00C1111E"/>
    <w:rsid w:val="00C117D9"/>
    <w:rsid w:val="00C11DAE"/>
    <w:rsid w:val="00C128F4"/>
    <w:rsid w:val="00C13C06"/>
    <w:rsid w:val="00C17C2A"/>
    <w:rsid w:val="00C20F13"/>
    <w:rsid w:val="00C22BCD"/>
    <w:rsid w:val="00C22BD0"/>
    <w:rsid w:val="00C252D9"/>
    <w:rsid w:val="00C264A5"/>
    <w:rsid w:val="00C31F9E"/>
    <w:rsid w:val="00C32510"/>
    <w:rsid w:val="00C33A2D"/>
    <w:rsid w:val="00C34E5A"/>
    <w:rsid w:val="00C35624"/>
    <w:rsid w:val="00C35C2F"/>
    <w:rsid w:val="00C36982"/>
    <w:rsid w:val="00C372C4"/>
    <w:rsid w:val="00C3741D"/>
    <w:rsid w:val="00C405BA"/>
    <w:rsid w:val="00C4211D"/>
    <w:rsid w:val="00C430DF"/>
    <w:rsid w:val="00C4344B"/>
    <w:rsid w:val="00C43CF4"/>
    <w:rsid w:val="00C44B25"/>
    <w:rsid w:val="00C451CD"/>
    <w:rsid w:val="00C46F6C"/>
    <w:rsid w:val="00C4760A"/>
    <w:rsid w:val="00C47900"/>
    <w:rsid w:val="00C539A4"/>
    <w:rsid w:val="00C54910"/>
    <w:rsid w:val="00C55253"/>
    <w:rsid w:val="00C56C1C"/>
    <w:rsid w:val="00C57EF9"/>
    <w:rsid w:val="00C618E0"/>
    <w:rsid w:val="00C62472"/>
    <w:rsid w:val="00C63D22"/>
    <w:rsid w:val="00C65DFD"/>
    <w:rsid w:val="00C725E3"/>
    <w:rsid w:val="00C74759"/>
    <w:rsid w:val="00C76A43"/>
    <w:rsid w:val="00C80728"/>
    <w:rsid w:val="00C84A7E"/>
    <w:rsid w:val="00C84DEA"/>
    <w:rsid w:val="00C85B03"/>
    <w:rsid w:val="00C86426"/>
    <w:rsid w:val="00C8785D"/>
    <w:rsid w:val="00C9314B"/>
    <w:rsid w:val="00C95DB5"/>
    <w:rsid w:val="00C963C1"/>
    <w:rsid w:val="00CA1704"/>
    <w:rsid w:val="00CA1D08"/>
    <w:rsid w:val="00CB0E93"/>
    <w:rsid w:val="00CB2588"/>
    <w:rsid w:val="00CB3C13"/>
    <w:rsid w:val="00CB530A"/>
    <w:rsid w:val="00CB649D"/>
    <w:rsid w:val="00CB7826"/>
    <w:rsid w:val="00CC09AE"/>
    <w:rsid w:val="00CC1D35"/>
    <w:rsid w:val="00CC4015"/>
    <w:rsid w:val="00CD4553"/>
    <w:rsid w:val="00CD47A9"/>
    <w:rsid w:val="00CD5571"/>
    <w:rsid w:val="00CD6645"/>
    <w:rsid w:val="00CD66FA"/>
    <w:rsid w:val="00CD6C0B"/>
    <w:rsid w:val="00CD796C"/>
    <w:rsid w:val="00CE04BE"/>
    <w:rsid w:val="00CE0CE5"/>
    <w:rsid w:val="00CF0A47"/>
    <w:rsid w:val="00CF24AF"/>
    <w:rsid w:val="00CF3A04"/>
    <w:rsid w:val="00CF470A"/>
    <w:rsid w:val="00CF4CF9"/>
    <w:rsid w:val="00CF551A"/>
    <w:rsid w:val="00CF6A74"/>
    <w:rsid w:val="00D005E5"/>
    <w:rsid w:val="00D010F5"/>
    <w:rsid w:val="00D0158B"/>
    <w:rsid w:val="00D01D01"/>
    <w:rsid w:val="00D07A26"/>
    <w:rsid w:val="00D07CE4"/>
    <w:rsid w:val="00D11260"/>
    <w:rsid w:val="00D1270C"/>
    <w:rsid w:val="00D13532"/>
    <w:rsid w:val="00D13E73"/>
    <w:rsid w:val="00D13FC1"/>
    <w:rsid w:val="00D14A06"/>
    <w:rsid w:val="00D150F9"/>
    <w:rsid w:val="00D20274"/>
    <w:rsid w:val="00D20B43"/>
    <w:rsid w:val="00D23CF6"/>
    <w:rsid w:val="00D27279"/>
    <w:rsid w:val="00D32E09"/>
    <w:rsid w:val="00D351E3"/>
    <w:rsid w:val="00D4456F"/>
    <w:rsid w:val="00D455D9"/>
    <w:rsid w:val="00D475CC"/>
    <w:rsid w:val="00D47BA3"/>
    <w:rsid w:val="00D50F96"/>
    <w:rsid w:val="00D517B7"/>
    <w:rsid w:val="00D52657"/>
    <w:rsid w:val="00D538EE"/>
    <w:rsid w:val="00D54A08"/>
    <w:rsid w:val="00D54F70"/>
    <w:rsid w:val="00D55A57"/>
    <w:rsid w:val="00D55A90"/>
    <w:rsid w:val="00D569D4"/>
    <w:rsid w:val="00D60A9A"/>
    <w:rsid w:val="00D617BE"/>
    <w:rsid w:val="00D641D0"/>
    <w:rsid w:val="00D662FD"/>
    <w:rsid w:val="00D671FF"/>
    <w:rsid w:val="00D701D0"/>
    <w:rsid w:val="00D70A81"/>
    <w:rsid w:val="00D73E32"/>
    <w:rsid w:val="00D73FB1"/>
    <w:rsid w:val="00D74F69"/>
    <w:rsid w:val="00D74FF7"/>
    <w:rsid w:val="00D75178"/>
    <w:rsid w:val="00D76085"/>
    <w:rsid w:val="00D826C8"/>
    <w:rsid w:val="00D96750"/>
    <w:rsid w:val="00D975CE"/>
    <w:rsid w:val="00DA54A3"/>
    <w:rsid w:val="00DA55EB"/>
    <w:rsid w:val="00DA70DA"/>
    <w:rsid w:val="00DA757D"/>
    <w:rsid w:val="00DB74BB"/>
    <w:rsid w:val="00DC133D"/>
    <w:rsid w:val="00DC15D7"/>
    <w:rsid w:val="00DC281E"/>
    <w:rsid w:val="00DC5DA3"/>
    <w:rsid w:val="00DC6227"/>
    <w:rsid w:val="00DD1DCF"/>
    <w:rsid w:val="00DD3249"/>
    <w:rsid w:val="00DD3F50"/>
    <w:rsid w:val="00DD4F71"/>
    <w:rsid w:val="00DD7B77"/>
    <w:rsid w:val="00DE337E"/>
    <w:rsid w:val="00DE529B"/>
    <w:rsid w:val="00DF2CE8"/>
    <w:rsid w:val="00DF447B"/>
    <w:rsid w:val="00E0018C"/>
    <w:rsid w:val="00E011B5"/>
    <w:rsid w:val="00E01FA4"/>
    <w:rsid w:val="00E04B37"/>
    <w:rsid w:val="00E103E6"/>
    <w:rsid w:val="00E11B4B"/>
    <w:rsid w:val="00E120E4"/>
    <w:rsid w:val="00E12DA2"/>
    <w:rsid w:val="00E13DE7"/>
    <w:rsid w:val="00E16D0F"/>
    <w:rsid w:val="00E23F2D"/>
    <w:rsid w:val="00E3264B"/>
    <w:rsid w:val="00E33D73"/>
    <w:rsid w:val="00E34F3F"/>
    <w:rsid w:val="00E371AC"/>
    <w:rsid w:val="00E4009D"/>
    <w:rsid w:val="00E40150"/>
    <w:rsid w:val="00E40DDE"/>
    <w:rsid w:val="00E4537B"/>
    <w:rsid w:val="00E47354"/>
    <w:rsid w:val="00E4792F"/>
    <w:rsid w:val="00E479DA"/>
    <w:rsid w:val="00E531ED"/>
    <w:rsid w:val="00E54044"/>
    <w:rsid w:val="00E54171"/>
    <w:rsid w:val="00E5431A"/>
    <w:rsid w:val="00E54508"/>
    <w:rsid w:val="00E549B3"/>
    <w:rsid w:val="00E57F7E"/>
    <w:rsid w:val="00E605F6"/>
    <w:rsid w:val="00E6352E"/>
    <w:rsid w:val="00E6481E"/>
    <w:rsid w:val="00E6636D"/>
    <w:rsid w:val="00E715E2"/>
    <w:rsid w:val="00E71CA9"/>
    <w:rsid w:val="00E7379C"/>
    <w:rsid w:val="00E803F8"/>
    <w:rsid w:val="00E85069"/>
    <w:rsid w:val="00E8636F"/>
    <w:rsid w:val="00E86372"/>
    <w:rsid w:val="00E91D5E"/>
    <w:rsid w:val="00E93EAC"/>
    <w:rsid w:val="00E94342"/>
    <w:rsid w:val="00E96171"/>
    <w:rsid w:val="00E96C58"/>
    <w:rsid w:val="00E97C07"/>
    <w:rsid w:val="00EA183E"/>
    <w:rsid w:val="00EA3081"/>
    <w:rsid w:val="00EA46FC"/>
    <w:rsid w:val="00EA68D4"/>
    <w:rsid w:val="00EB30F6"/>
    <w:rsid w:val="00EB59CB"/>
    <w:rsid w:val="00EC0A2A"/>
    <w:rsid w:val="00EC11FE"/>
    <w:rsid w:val="00EC2987"/>
    <w:rsid w:val="00EC4346"/>
    <w:rsid w:val="00ED01C1"/>
    <w:rsid w:val="00ED09A6"/>
    <w:rsid w:val="00ED33AA"/>
    <w:rsid w:val="00EE1866"/>
    <w:rsid w:val="00EE3905"/>
    <w:rsid w:val="00EE4934"/>
    <w:rsid w:val="00EE524D"/>
    <w:rsid w:val="00EE5A65"/>
    <w:rsid w:val="00EE7049"/>
    <w:rsid w:val="00EE765E"/>
    <w:rsid w:val="00EF3661"/>
    <w:rsid w:val="00EF3B99"/>
    <w:rsid w:val="00EF3EB0"/>
    <w:rsid w:val="00EF5B7B"/>
    <w:rsid w:val="00EF6A4E"/>
    <w:rsid w:val="00EF6E22"/>
    <w:rsid w:val="00F028CB"/>
    <w:rsid w:val="00F0721F"/>
    <w:rsid w:val="00F072E1"/>
    <w:rsid w:val="00F12F86"/>
    <w:rsid w:val="00F14D2C"/>
    <w:rsid w:val="00F169F2"/>
    <w:rsid w:val="00F21182"/>
    <w:rsid w:val="00F23353"/>
    <w:rsid w:val="00F23D30"/>
    <w:rsid w:val="00F25968"/>
    <w:rsid w:val="00F26C41"/>
    <w:rsid w:val="00F3145C"/>
    <w:rsid w:val="00F33837"/>
    <w:rsid w:val="00F36BD0"/>
    <w:rsid w:val="00F36EB9"/>
    <w:rsid w:val="00F41485"/>
    <w:rsid w:val="00F42852"/>
    <w:rsid w:val="00F42D6F"/>
    <w:rsid w:val="00F42E63"/>
    <w:rsid w:val="00F454A7"/>
    <w:rsid w:val="00F45B2D"/>
    <w:rsid w:val="00F54360"/>
    <w:rsid w:val="00F54DE8"/>
    <w:rsid w:val="00F5566E"/>
    <w:rsid w:val="00F56A26"/>
    <w:rsid w:val="00F63E72"/>
    <w:rsid w:val="00F64EE8"/>
    <w:rsid w:val="00F6632A"/>
    <w:rsid w:val="00F67375"/>
    <w:rsid w:val="00F70766"/>
    <w:rsid w:val="00F71539"/>
    <w:rsid w:val="00F71F0A"/>
    <w:rsid w:val="00F73138"/>
    <w:rsid w:val="00F74AA0"/>
    <w:rsid w:val="00F752FC"/>
    <w:rsid w:val="00F77625"/>
    <w:rsid w:val="00F81A2E"/>
    <w:rsid w:val="00F8269C"/>
    <w:rsid w:val="00F852DA"/>
    <w:rsid w:val="00F85458"/>
    <w:rsid w:val="00F86336"/>
    <w:rsid w:val="00F878E0"/>
    <w:rsid w:val="00F91855"/>
    <w:rsid w:val="00F91C54"/>
    <w:rsid w:val="00F93C18"/>
    <w:rsid w:val="00F95A76"/>
    <w:rsid w:val="00FA3723"/>
    <w:rsid w:val="00FA44C7"/>
    <w:rsid w:val="00FA7B48"/>
    <w:rsid w:val="00FB023A"/>
    <w:rsid w:val="00FB18DC"/>
    <w:rsid w:val="00FB280E"/>
    <w:rsid w:val="00FB424A"/>
    <w:rsid w:val="00FB5140"/>
    <w:rsid w:val="00FB699B"/>
    <w:rsid w:val="00FC13F9"/>
    <w:rsid w:val="00FC14B1"/>
    <w:rsid w:val="00FC3A96"/>
    <w:rsid w:val="00FC5B18"/>
    <w:rsid w:val="00FD0E91"/>
    <w:rsid w:val="00FD42C5"/>
    <w:rsid w:val="00FD54D4"/>
    <w:rsid w:val="00FE1364"/>
    <w:rsid w:val="00FE2260"/>
    <w:rsid w:val="00FE3B05"/>
    <w:rsid w:val="00FE5E57"/>
    <w:rsid w:val="00FE7F1E"/>
    <w:rsid w:val="00FF04BE"/>
    <w:rsid w:val="00FF4705"/>
    <w:rsid w:val="00FF5D04"/>
    <w:rsid w:val="00FF6310"/>
    <w:rsid w:val="00FF667F"/>
    <w:rsid w:val="00FF7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7C50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C5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paragraph" w:styleId="Textoindependiente">
    <w:name w:val="Body Text"/>
    <w:basedOn w:val="Normal"/>
    <w:link w:val="TextoindependienteCar"/>
    <w:semiHidden/>
    <w:unhideWhenUsed/>
    <w:rsid w:val="00B84A96"/>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B84A96"/>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66A99"/>
    <w:pPr>
      <w:spacing w:after="0" w:line="240" w:lineRule="auto"/>
    </w:pPr>
    <w:rPr>
      <w:rFonts w:ascii="Times New Roman" w:hAnsi="Times New Roman" w:cs="Times New Roman"/>
      <w:sz w:val="24"/>
      <w:szCs w:val="24"/>
      <w:lang w:eastAsia="es-ES"/>
    </w:rPr>
  </w:style>
  <w:style w:type="paragraph" w:customStyle="1" w:styleId="s6">
    <w:name w:val="s6"/>
    <w:basedOn w:val="Normal"/>
    <w:rsid w:val="00AF0882"/>
    <w:pPr>
      <w:spacing w:before="100" w:beforeAutospacing="1" w:after="100" w:afterAutospacing="1" w:line="240" w:lineRule="auto"/>
    </w:pPr>
    <w:rPr>
      <w:rFonts w:ascii="Calibri" w:hAnsi="Calibri" w:cs="Calibri"/>
      <w:lang w:eastAsia="es-ES"/>
    </w:rPr>
  </w:style>
  <w:style w:type="character" w:customStyle="1" w:styleId="bumpedfont15">
    <w:name w:val="bumpedfont15"/>
    <w:basedOn w:val="Fuentedeprrafopredeter"/>
    <w:rsid w:val="00AF0882"/>
  </w:style>
  <w:style w:type="character" w:customStyle="1" w:styleId="Ttulo2Car">
    <w:name w:val="Título 2 Car"/>
    <w:basedOn w:val="Fuentedeprrafopredeter"/>
    <w:link w:val="Ttulo2"/>
    <w:uiPriority w:val="9"/>
    <w:rsid w:val="007C50A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C50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393">
      <w:bodyDiv w:val="1"/>
      <w:marLeft w:val="0"/>
      <w:marRight w:val="0"/>
      <w:marTop w:val="0"/>
      <w:marBottom w:val="0"/>
      <w:divBdr>
        <w:top w:val="none" w:sz="0" w:space="0" w:color="auto"/>
        <w:left w:val="none" w:sz="0" w:space="0" w:color="auto"/>
        <w:bottom w:val="none" w:sz="0" w:space="0" w:color="auto"/>
        <w:right w:val="none" w:sz="0" w:space="0" w:color="auto"/>
      </w:divBdr>
    </w:div>
    <w:div w:id="130753618">
      <w:bodyDiv w:val="1"/>
      <w:marLeft w:val="0"/>
      <w:marRight w:val="0"/>
      <w:marTop w:val="0"/>
      <w:marBottom w:val="0"/>
      <w:divBdr>
        <w:top w:val="none" w:sz="0" w:space="0" w:color="auto"/>
        <w:left w:val="none" w:sz="0" w:space="0" w:color="auto"/>
        <w:bottom w:val="none" w:sz="0" w:space="0" w:color="auto"/>
        <w:right w:val="none" w:sz="0" w:space="0" w:color="auto"/>
      </w:divBdr>
    </w:div>
    <w:div w:id="248272396">
      <w:bodyDiv w:val="1"/>
      <w:marLeft w:val="0"/>
      <w:marRight w:val="0"/>
      <w:marTop w:val="0"/>
      <w:marBottom w:val="0"/>
      <w:divBdr>
        <w:top w:val="none" w:sz="0" w:space="0" w:color="auto"/>
        <w:left w:val="none" w:sz="0" w:space="0" w:color="auto"/>
        <w:bottom w:val="none" w:sz="0" w:space="0" w:color="auto"/>
        <w:right w:val="none" w:sz="0" w:space="0" w:color="auto"/>
      </w:divBdr>
    </w:div>
    <w:div w:id="567695592">
      <w:bodyDiv w:val="1"/>
      <w:marLeft w:val="0"/>
      <w:marRight w:val="0"/>
      <w:marTop w:val="0"/>
      <w:marBottom w:val="0"/>
      <w:divBdr>
        <w:top w:val="none" w:sz="0" w:space="0" w:color="auto"/>
        <w:left w:val="none" w:sz="0" w:space="0" w:color="auto"/>
        <w:bottom w:val="none" w:sz="0" w:space="0" w:color="auto"/>
        <w:right w:val="none" w:sz="0" w:space="0" w:color="auto"/>
      </w:divBdr>
    </w:div>
    <w:div w:id="721944886">
      <w:bodyDiv w:val="1"/>
      <w:marLeft w:val="0"/>
      <w:marRight w:val="0"/>
      <w:marTop w:val="0"/>
      <w:marBottom w:val="0"/>
      <w:divBdr>
        <w:top w:val="none" w:sz="0" w:space="0" w:color="auto"/>
        <w:left w:val="none" w:sz="0" w:space="0" w:color="auto"/>
        <w:bottom w:val="none" w:sz="0" w:space="0" w:color="auto"/>
        <w:right w:val="none" w:sz="0" w:space="0" w:color="auto"/>
      </w:divBdr>
    </w:div>
    <w:div w:id="924730845">
      <w:bodyDiv w:val="1"/>
      <w:marLeft w:val="0"/>
      <w:marRight w:val="0"/>
      <w:marTop w:val="0"/>
      <w:marBottom w:val="0"/>
      <w:divBdr>
        <w:top w:val="none" w:sz="0" w:space="0" w:color="auto"/>
        <w:left w:val="none" w:sz="0" w:space="0" w:color="auto"/>
        <w:bottom w:val="none" w:sz="0" w:space="0" w:color="auto"/>
        <w:right w:val="none" w:sz="0" w:space="0" w:color="auto"/>
      </w:divBdr>
    </w:div>
    <w:div w:id="968777886">
      <w:bodyDiv w:val="1"/>
      <w:marLeft w:val="0"/>
      <w:marRight w:val="0"/>
      <w:marTop w:val="0"/>
      <w:marBottom w:val="0"/>
      <w:divBdr>
        <w:top w:val="none" w:sz="0" w:space="0" w:color="auto"/>
        <w:left w:val="none" w:sz="0" w:space="0" w:color="auto"/>
        <w:bottom w:val="none" w:sz="0" w:space="0" w:color="auto"/>
        <w:right w:val="none" w:sz="0" w:space="0" w:color="auto"/>
      </w:divBdr>
    </w:div>
    <w:div w:id="1246762342">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48879953">
      <w:bodyDiv w:val="1"/>
      <w:marLeft w:val="0"/>
      <w:marRight w:val="0"/>
      <w:marTop w:val="0"/>
      <w:marBottom w:val="0"/>
      <w:divBdr>
        <w:top w:val="none" w:sz="0" w:space="0" w:color="auto"/>
        <w:left w:val="none" w:sz="0" w:space="0" w:color="auto"/>
        <w:bottom w:val="none" w:sz="0" w:space="0" w:color="auto"/>
        <w:right w:val="none" w:sz="0" w:space="0" w:color="auto"/>
      </w:divBdr>
    </w:div>
    <w:div w:id="1587838281">
      <w:bodyDiv w:val="1"/>
      <w:marLeft w:val="0"/>
      <w:marRight w:val="0"/>
      <w:marTop w:val="0"/>
      <w:marBottom w:val="0"/>
      <w:divBdr>
        <w:top w:val="none" w:sz="0" w:space="0" w:color="auto"/>
        <w:left w:val="none" w:sz="0" w:space="0" w:color="auto"/>
        <w:bottom w:val="none" w:sz="0" w:space="0" w:color="auto"/>
        <w:right w:val="none" w:sz="0" w:space="0" w:color="auto"/>
      </w:divBdr>
    </w:div>
    <w:div w:id="1689059987">
      <w:bodyDiv w:val="1"/>
      <w:marLeft w:val="0"/>
      <w:marRight w:val="0"/>
      <w:marTop w:val="0"/>
      <w:marBottom w:val="0"/>
      <w:divBdr>
        <w:top w:val="none" w:sz="0" w:space="0" w:color="auto"/>
        <w:left w:val="none" w:sz="0" w:space="0" w:color="auto"/>
        <w:bottom w:val="none" w:sz="0" w:space="0" w:color="auto"/>
        <w:right w:val="none" w:sz="0" w:space="0" w:color="auto"/>
      </w:divBdr>
    </w:div>
    <w:div w:id="1803380988">
      <w:bodyDiv w:val="1"/>
      <w:marLeft w:val="0"/>
      <w:marRight w:val="0"/>
      <w:marTop w:val="0"/>
      <w:marBottom w:val="0"/>
      <w:divBdr>
        <w:top w:val="none" w:sz="0" w:space="0" w:color="auto"/>
        <w:left w:val="none" w:sz="0" w:space="0" w:color="auto"/>
        <w:bottom w:val="none" w:sz="0" w:space="0" w:color="auto"/>
        <w:right w:val="none" w:sz="0" w:space="0" w:color="auto"/>
      </w:divBdr>
    </w:div>
    <w:div w:id="2050835867">
      <w:bodyDiv w:val="1"/>
      <w:marLeft w:val="0"/>
      <w:marRight w:val="0"/>
      <w:marTop w:val="0"/>
      <w:marBottom w:val="0"/>
      <w:divBdr>
        <w:top w:val="none" w:sz="0" w:space="0" w:color="auto"/>
        <w:left w:val="none" w:sz="0" w:space="0" w:color="auto"/>
        <w:bottom w:val="none" w:sz="0" w:space="0" w:color="auto"/>
        <w:right w:val="none" w:sz="0" w:space="0" w:color="auto"/>
      </w:divBdr>
    </w:div>
    <w:div w:id="2060081115">
      <w:bodyDiv w:val="1"/>
      <w:marLeft w:val="0"/>
      <w:marRight w:val="0"/>
      <w:marTop w:val="0"/>
      <w:marBottom w:val="0"/>
      <w:divBdr>
        <w:top w:val="none" w:sz="0" w:space="0" w:color="auto"/>
        <w:left w:val="none" w:sz="0" w:space="0" w:color="auto"/>
        <w:bottom w:val="none" w:sz="0" w:space="0" w:color="auto"/>
        <w:right w:val="none" w:sz="0" w:space="0" w:color="auto"/>
      </w:divBdr>
    </w:div>
    <w:div w:id="20708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1B8F-E7DE-4C81-89B5-172BB77F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12</cp:revision>
  <cp:lastPrinted>2020-02-25T10:51:00Z</cp:lastPrinted>
  <dcterms:created xsi:type="dcterms:W3CDTF">2021-05-06T11:28:00Z</dcterms:created>
  <dcterms:modified xsi:type="dcterms:W3CDTF">2021-05-06T16:54:00Z</dcterms:modified>
</cp:coreProperties>
</file>