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B4B795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3CA183A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6DAA263E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19D17FEA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A606FFA" w14:textId="5A98CF1A" w:rsidR="00AF54E4" w:rsidRPr="00AF54E4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anota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de nuevo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</w:t>
      </w:r>
      <w:r w:rsidR="00AF54E4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gala</w:t>
      </w:r>
      <w:r w:rsidR="00AF54E4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más vista de esta edición tras su estreno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con una subida aún mayor entre 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los 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j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óvenes (33%)</w:t>
      </w:r>
    </w:p>
    <w:bookmarkEnd w:id="0"/>
    <w:p w14:paraId="7FAAF2A1" w14:textId="64B48970" w:rsidR="00AF54E4" w:rsidRDefault="00AF54E4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3B51C7B9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en casi 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emitió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4ADA020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5CD3CA67" w:rsidR="00B03B45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16 a 34 años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47D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33%)</w:t>
      </w:r>
      <w:r w:rsidR="00862CD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multiplicando por 6 el resultado 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esta horquilla en la franja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un 4,9% de cuota de pantalla y en la 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</w:t>
      </w:r>
      <w:r w:rsidR="00A9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uvo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afín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mayores de 55 años (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13,1%)</w:t>
      </w:r>
    </w:p>
    <w:p w14:paraId="7A9F106B" w14:textId="4AA1C8CC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50D8B1" w14:textId="4DB2CFB6" w:rsidR="00F332AE" w:rsidRDefault="00F332AE" w:rsidP="00F332A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Previamente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‘Supervivientes 2021: </w:t>
      </w:r>
      <w:proofErr w:type="spellStart"/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6,5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395E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M) también lideró su franja</w:t>
      </w:r>
      <w:r w:rsidR="00447D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sumó 1,4 puntos en su </w:t>
      </w:r>
      <w:proofErr w:type="gramStart"/>
      <w:r w:rsidR="00447D95" w:rsidRPr="00447D9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47D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anotar un 17,9% de </w:t>
      </w:r>
      <w:r w:rsidR="00447D95" w:rsidRPr="00447D9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28E45679" w14:textId="04F538FA" w:rsidR="00F332AE" w:rsidRDefault="00F332A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39E187A3" w:rsidR="00765BCF" w:rsidRDefault="000E77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09B2D94" wp14:editId="4A4BC710">
            <wp:simplePos x="0" y="0"/>
            <wp:positionH relativeFrom="margin">
              <wp:posOffset>6350</wp:posOffset>
            </wp:positionH>
            <wp:positionV relativeFrom="paragraph">
              <wp:posOffset>972185</wp:posOffset>
            </wp:positionV>
            <wp:extent cx="5826125" cy="2260600"/>
            <wp:effectExtent l="0" t="0" r="0" b="0"/>
            <wp:wrapTight wrapText="bothSides">
              <wp:wrapPolygon edited="0">
                <wp:start x="4379" y="1820"/>
                <wp:lineTo x="141" y="2184"/>
                <wp:lineTo x="71" y="9101"/>
                <wp:lineTo x="283" y="18566"/>
                <wp:lineTo x="2260" y="19658"/>
                <wp:lineTo x="5226" y="19658"/>
                <wp:lineTo x="5226" y="20387"/>
                <wp:lineTo x="17939" y="20387"/>
                <wp:lineTo x="17939" y="19658"/>
                <wp:lineTo x="19846" y="19658"/>
                <wp:lineTo x="21117" y="18384"/>
                <wp:lineTo x="21117" y="3458"/>
                <wp:lineTo x="20270" y="3094"/>
                <wp:lineTo x="14125" y="1820"/>
                <wp:lineTo x="4379" y="182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47D9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47D9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concurso presentado por Jorge Javier Vázquez 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creció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1,4 puntos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respecto a su última entrega de la semana pasada, convirtiéndose en la m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ás vista de la presente edición tras su estreno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absoluta con una ventaja de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casi 20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0DD5150" w14:textId="5D03D96D" w:rsidR="00765BCF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029447" w14:textId="19066CB1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A503A6" w14:textId="77777777" w:rsidR="000E7731" w:rsidRDefault="000E77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58208541" w:rsidR="004B54EC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33%)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4,9%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 cuyo público más afín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</w:t>
      </w:r>
      <w:r w:rsid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ser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 de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13,1%).</w:t>
      </w:r>
    </w:p>
    <w:p w14:paraId="7C5AD839" w14:textId="77777777" w:rsidR="00A71013" w:rsidRDefault="00A7101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EC41B9" w14:textId="53C06CAD" w:rsidR="0038435F" w:rsidRPr="00163D9B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2,6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31,3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B87BA0E" w14:textId="66AA65FC" w:rsidR="0079351D" w:rsidRDefault="0079351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174F83" w14:textId="0F31C10F" w:rsidR="000E7731" w:rsidRDefault="000E773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C82668" w14:textId="77777777" w:rsidR="000E7731" w:rsidRDefault="000E773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63EECF85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/>
          <w:sz w:val="24"/>
          <w:szCs w:val="24"/>
          <w:lang w:eastAsia="es-ES"/>
        </w:rPr>
        <w:t>6,5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272F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más de 1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sobre la oferta de su inmediato competidor (1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52A73" w14:textId="3C329EA6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B80738" w14:textId="64955D59" w:rsidR="004D705B" w:rsidRPr="004D705B" w:rsidRDefault="0018119C" w:rsidP="004D705B">
      <w:pPr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ayer también volv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ieron a ser los espacios más vistos en sus respectivas franjas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 por delante del resultado de ‘Espejo Público’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03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1,7M), en las que Antena 3 promedió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B34E4E2" w14:textId="4E2D99A8" w:rsidR="007E4363" w:rsidRPr="00E927C4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más vista del jueves con un 1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 w:rsidR="00795CFC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se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06A8C"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20%;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31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</w:p>
    <w:p w14:paraId="40A1654D" w14:textId="77777777" w:rsidR="00AF7CA5" w:rsidRDefault="00AF7CA5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6B6652" w14:textId="7A6B9CBC" w:rsidR="008E61DD" w:rsidRDefault="00CA4E3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Iker Jiménez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="00337B94" w:rsidRPr="00337B94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406A8C" w:rsidRPr="00337B9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7B9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406A8C" w:rsidRPr="00406A8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se situó por encima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(4,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 Sumó 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de 35 a 54 años como sus mayores seguidores (</w:t>
      </w:r>
      <w:r w:rsidR="00BE5A0D">
        <w:rPr>
          <w:rFonts w:ascii="Arial" w:eastAsia="Times New Roman" w:hAnsi="Arial" w:cs="Arial"/>
          <w:bCs/>
          <w:sz w:val="24"/>
          <w:szCs w:val="24"/>
          <w:lang w:eastAsia="es-ES"/>
        </w:rPr>
        <w:t>7,3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38160089" w14:textId="77777777" w:rsidR="00D34E7F" w:rsidRDefault="00D34E7F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750540" w14:textId="312C7EB6" w:rsidR="00E927C4" w:rsidRDefault="00BE5A0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sobresalió </w:t>
      </w:r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presentación en </w:t>
      </w:r>
      <w:proofErr w:type="spellStart"/>
      <w:r w:rsidR="00724FE7" w:rsidRPr="00724FE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simulcast</w:t>
      </w:r>
      <w:proofErr w:type="spellEnd"/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nueva temporada de </w:t>
      </w:r>
      <w:r w:rsidR="00724FE7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>‘Planeta Calleja’</w:t>
      </w:r>
      <w:r w:rsidR="00724F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todos los canales de Mediaset España (excepto Boing) 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marcar un 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33% de </w:t>
      </w:r>
      <w:r w:rsidR="00B55552" w:rsidRPr="00B5555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B55552" w:rsidRPr="00B55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4,6M de espectadores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216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37,4% en </w:t>
      </w:r>
      <w:proofErr w:type="gramStart"/>
      <w:r w:rsidR="00216D5E" w:rsidRPr="00216D5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216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En Telecinco anotó un 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23,8% de </w:t>
      </w:r>
      <w:r w:rsidR="00B55552" w:rsidRPr="00B5555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55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3,3 M</w:t>
      </w:r>
      <w:r w:rsidR="00216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seguidores.</w:t>
      </w: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236" w14:textId="77777777" w:rsidR="000B1EC8" w:rsidRDefault="000B1EC8" w:rsidP="00B23904">
      <w:pPr>
        <w:spacing w:after="0" w:line="240" w:lineRule="auto"/>
      </w:pPr>
      <w:r>
        <w:separator/>
      </w:r>
    </w:p>
  </w:endnote>
  <w:endnote w:type="continuationSeparator" w:id="0">
    <w:p w14:paraId="55CDC6FE" w14:textId="77777777" w:rsidR="000B1EC8" w:rsidRDefault="000B1E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E31" w14:textId="77777777" w:rsidR="000B1EC8" w:rsidRDefault="000B1EC8" w:rsidP="00B23904">
      <w:pPr>
        <w:spacing w:after="0" w:line="240" w:lineRule="auto"/>
      </w:pPr>
      <w:r>
        <w:separator/>
      </w:r>
    </w:p>
  </w:footnote>
  <w:footnote w:type="continuationSeparator" w:id="0">
    <w:p w14:paraId="2E659178" w14:textId="77777777" w:rsidR="000B1EC8" w:rsidRDefault="000B1E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2020-01-16T09:01:00Z</cp:lastPrinted>
  <dcterms:created xsi:type="dcterms:W3CDTF">2021-05-07T07:41:00Z</dcterms:created>
  <dcterms:modified xsi:type="dcterms:W3CDTF">2021-05-07T08:38:00Z</dcterms:modified>
</cp:coreProperties>
</file>