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29397E4B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03F01FC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612B712D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5FFDFE6E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21B595" w14:textId="5851A09A" w:rsidR="00DF7627" w:rsidRDefault="00B23904" w:rsidP="00D4547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432A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432A5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2A91FEE" w14:textId="77777777" w:rsidR="00D45477" w:rsidRPr="00265834" w:rsidRDefault="00D45477" w:rsidP="00D45477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6147099A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0347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B432A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4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B432A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</w:p>
    <w:p w14:paraId="0A678659" w14:textId="0868DE4D" w:rsidR="00265834" w:rsidRPr="001F3C5A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6339EBFF" w14:textId="30E1B50E" w:rsidR="006D6DC9" w:rsidRPr="00912BBC" w:rsidRDefault="00B432A5" w:rsidP="00912BBC">
      <w:pPr>
        <w:spacing w:after="0" w:line="240" w:lineRule="auto"/>
        <w:ind w:right="-425"/>
        <w:jc w:val="center"/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</w:pPr>
      <w:r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Nuevo récord de </w:t>
      </w:r>
      <w:r w:rsidR="0040347B"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‘La Isla de las Tentaciones’</w:t>
      </w:r>
      <w:r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con su mejor </w:t>
      </w:r>
      <w:r w:rsidR="006D6DC9"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registro</w:t>
      </w:r>
      <w:r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del último año y un </w:t>
      </w:r>
    </w:p>
    <w:p w14:paraId="6591C1D5" w14:textId="01BA4D73" w:rsidR="004472F8" w:rsidRPr="006D6DC9" w:rsidRDefault="00EB28D5" w:rsidP="00912BBC">
      <w:pPr>
        <w:spacing w:after="0" w:line="240" w:lineRule="auto"/>
        <w:ind w:right="-425"/>
        <w:jc w:val="center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  <w:r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5</w:t>
      </w:r>
      <w:r w:rsidR="006D6DC9"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6</w:t>
      </w:r>
      <w:r w:rsidR="00FC3B9B"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,</w:t>
      </w:r>
      <w:r w:rsidR="006D6DC9"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3</w:t>
      </w:r>
      <w:r w:rsidR="003C3654"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%</w:t>
      </w:r>
      <w:r w:rsidR="00FC3B9B"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 </w:t>
      </w:r>
      <w:r w:rsidR="006D6DC9"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 xml:space="preserve">de seguimiento </w:t>
      </w:r>
      <w:r w:rsidRPr="00912BBC">
        <w:rPr>
          <w:rFonts w:ascii="Arial" w:eastAsia="Times New Roman" w:hAnsi="Arial" w:cs="Arial"/>
          <w:bCs/>
          <w:color w:val="002C5F"/>
          <w:sz w:val="45"/>
          <w:szCs w:val="45"/>
          <w:lang w:eastAsia="es-ES"/>
        </w:rPr>
        <w:t>entre los jóvenes</w:t>
      </w:r>
    </w:p>
    <w:p w14:paraId="282BCEB5" w14:textId="77777777" w:rsidR="00D45477" w:rsidRPr="006D6DC9" w:rsidRDefault="00D45477" w:rsidP="00912BBC">
      <w:pPr>
        <w:spacing w:after="0" w:line="240" w:lineRule="auto"/>
        <w:ind w:right="-425"/>
        <w:jc w:val="center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14:paraId="7E4EA60F" w14:textId="5293524B" w:rsidR="00EB28D5" w:rsidRDefault="00EB28D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</w:t>
      </w:r>
      <w:r w:rsidR="00B432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32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3M de espectadores, lideró su franja 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por s</w:t>
      </w:r>
      <w:r w:rsidR="00B432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éptima 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semana consecutiva </w:t>
      </w:r>
      <w:r w:rsidR="006E02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 a</w:t>
      </w: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lcanzó un 3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Pr="00EB28D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EB28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EB28D5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 </w:t>
      </w:r>
    </w:p>
    <w:p w14:paraId="32125EEB" w14:textId="05D02C46" w:rsidR="00D45477" w:rsidRDefault="00D4547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2A459C0A" w14:textId="50F5FE76" w:rsidR="00EB28D5" w:rsidRDefault="00D45477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</w:t>
      </w:r>
      <w:r w:rsidR="00E831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Express’ también </w:t>
      </w:r>
      <w:r w:rsidR="00B432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 impuso en su banda de emisión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B432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D454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432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D454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B432A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3,</w:t>
      </w:r>
      <w:r w:rsidRPr="00D4547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6E02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seguidores</w:t>
      </w:r>
    </w:p>
    <w:p w14:paraId="1154064E" w14:textId="77777777" w:rsidR="006E02BE" w:rsidRDefault="006E02B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C768E16" w14:textId="72299050" w:rsidR="00BC40BC" w:rsidRDefault="00B432A5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encuentro de la segunda semifinal de la Copa del Rey de fútbol se convierte en la emisión más vista de la temporada en Cuatro</w:t>
      </w:r>
      <w:r w:rsidR="00BC40BC" w:rsidRPr="00BC4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2,2M </w:t>
      </w:r>
      <w:r w:rsidR="006D6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espectadores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partido y</w:t>
      </w:r>
      <w:r w:rsidR="00725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2,3M en la prórroga</w:t>
      </w:r>
    </w:p>
    <w:p w14:paraId="57CA5684" w14:textId="75CAB078" w:rsidR="00BC40BC" w:rsidRDefault="00BC40B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E0D085" w14:textId="77777777" w:rsidR="00F2676E" w:rsidRPr="00EB28D5" w:rsidRDefault="00F2676E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20E5B66" w14:textId="14C787A9" w:rsidR="00BF3450" w:rsidRDefault="00912BB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4A3C51A" wp14:editId="02440829">
            <wp:simplePos x="0" y="0"/>
            <wp:positionH relativeFrom="margin">
              <wp:posOffset>-43180</wp:posOffset>
            </wp:positionH>
            <wp:positionV relativeFrom="paragraph">
              <wp:posOffset>922020</wp:posOffset>
            </wp:positionV>
            <wp:extent cx="6051106" cy="2348357"/>
            <wp:effectExtent l="0" t="0" r="0" b="0"/>
            <wp:wrapTight wrapText="bothSides">
              <wp:wrapPolygon edited="0">
                <wp:start x="12853" y="1752"/>
                <wp:lineTo x="204" y="2103"/>
                <wp:lineTo x="136" y="4906"/>
                <wp:lineTo x="476" y="4906"/>
                <wp:lineTo x="204" y="5958"/>
                <wp:lineTo x="136" y="14719"/>
                <wp:lineTo x="544" y="16121"/>
                <wp:lineTo x="272" y="16647"/>
                <wp:lineTo x="680" y="18925"/>
                <wp:lineTo x="5168" y="19275"/>
                <wp:lineTo x="5100" y="19976"/>
                <wp:lineTo x="5712" y="20327"/>
                <wp:lineTo x="17953" y="20327"/>
                <wp:lineTo x="18225" y="19275"/>
                <wp:lineTo x="21149" y="18399"/>
                <wp:lineTo x="21149" y="3855"/>
                <wp:lineTo x="20809" y="3505"/>
                <wp:lineTo x="16593" y="1752"/>
                <wp:lineTo x="12853" y="175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106" cy="2348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3C36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2676E">
        <w:rPr>
          <w:rFonts w:ascii="Arial" w:eastAsia="Times New Roman" w:hAnsi="Arial" w:cs="Arial"/>
          <w:sz w:val="24"/>
          <w:szCs w:val="24"/>
          <w:lang w:eastAsia="es-ES"/>
        </w:rPr>
        <w:t xml:space="preserve">marcó anoche un nuevo hito </w:t>
      </w:r>
      <w:r w:rsidR="00725F3B">
        <w:rPr>
          <w:rFonts w:ascii="Arial" w:eastAsia="Times New Roman" w:hAnsi="Arial" w:cs="Arial"/>
          <w:sz w:val="24"/>
          <w:szCs w:val="24"/>
          <w:lang w:eastAsia="es-ES"/>
        </w:rPr>
        <w:t xml:space="preserve">en su séptima gala al registrar un </w:t>
      </w:r>
      <w:r w:rsidR="00725F3B" w:rsidRPr="00725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máximo de temporada </w:t>
      </w:r>
      <w:r w:rsidR="00725F3B" w:rsidRPr="00F2676E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2676E" w:rsidRPr="00F2676E">
        <w:rPr>
          <w:rFonts w:ascii="Arial" w:eastAsia="Times New Roman" w:hAnsi="Arial" w:cs="Arial"/>
          <w:sz w:val="24"/>
          <w:szCs w:val="24"/>
          <w:lang w:eastAsia="es-ES"/>
        </w:rPr>
        <w:t xml:space="preserve">su mejor cuota desde </w:t>
      </w:r>
      <w:r w:rsidR="00725F3B">
        <w:rPr>
          <w:rFonts w:ascii="Arial" w:eastAsia="Times New Roman" w:hAnsi="Arial" w:cs="Arial"/>
          <w:sz w:val="24"/>
          <w:szCs w:val="24"/>
          <w:lang w:eastAsia="es-ES"/>
        </w:rPr>
        <w:t xml:space="preserve">febrero de 2020. Con un 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CB3D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25F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,2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F342DB" w:rsidRPr="00F342D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905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2D0DD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B3D4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25F3B">
        <w:rPr>
          <w:rFonts w:ascii="Arial" w:eastAsia="Times New Roman" w:hAnsi="Arial" w:cs="Arial"/>
          <w:sz w:val="24"/>
          <w:szCs w:val="24"/>
          <w:lang w:eastAsia="es-ES"/>
        </w:rPr>
        <w:t xml:space="preserve">se impuso </w:t>
      </w:r>
      <w:r w:rsidR="00F2676E">
        <w:rPr>
          <w:rFonts w:ascii="Arial" w:eastAsia="Times New Roman" w:hAnsi="Arial" w:cs="Arial"/>
          <w:sz w:val="24"/>
          <w:szCs w:val="24"/>
          <w:lang w:eastAsia="es-ES"/>
        </w:rPr>
        <w:t>por</w:t>
      </w:r>
      <w:r w:rsidR="00725F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="00F342DB" w:rsidRP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 w:rsidR="00DB573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2D0DD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puntos </w:t>
      </w:r>
      <w:r w:rsidR="00F267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2D0DD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Antena 3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</w:t>
      </w:r>
      <w:r w:rsidR="00DB573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725F3B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>, situándose como tercera opción para los espectadores, tras la oferta deportiva de Cuatro</w:t>
      </w:r>
      <w:r w:rsidR="00F342DB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BF34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AF3C65D" w14:textId="491CAC24" w:rsidR="00BF3450" w:rsidRDefault="00BF3450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5D4790" w14:textId="276B61CA" w:rsidR="00E83590" w:rsidRDefault="00BF3450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presentado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Sandra Barneda incrementó su media en </w:t>
      </w:r>
      <w:r w:rsidR="00F342DB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4,7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Pr="00BF34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912BB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342DB" w:rsidRPr="00912BBC">
        <w:rPr>
          <w:rFonts w:ascii="Arial" w:eastAsia="Times New Roman" w:hAnsi="Arial" w:cs="Arial"/>
          <w:sz w:val="24"/>
          <w:szCs w:val="24"/>
          <w:lang w:eastAsia="es-ES"/>
        </w:rPr>
        <w:t xml:space="preserve">frente </w:t>
      </w:r>
      <w:r w:rsidR="00912BBC" w:rsidRPr="00912BBC">
        <w:rPr>
          <w:rFonts w:ascii="Arial" w:eastAsia="Times New Roman" w:hAnsi="Arial" w:cs="Arial"/>
          <w:sz w:val="24"/>
          <w:szCs w:val="24"/>
          <w:lang w:eastAsia="es-ES"/>
        </w:rPr>
        <w:t>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12BBC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F342D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12BBC">
        <w:rPr>
          <w:rFonts w:ascii="Arial" w:eastAsia="Times New Roman" w:hAnsi="Arial" w:cs="Arial"/>
          <w:sz w:val="24"/>
          <w:szCs w:val="24"/>
          <w:lang w:eastAsia="es-ES"/>
        </w:rPr>
        <w:t>de 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Una semana más, destacó el seguimiento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entre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jóvenes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3B9B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F342DB" w:rsidRP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6D6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FC3B9B" w:rsidRPr="00F3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420F89"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420F89" w:rsidRPr="00FC3B9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420F89"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los </w:t>
      </w:r>
      <w:r w:rsidR="0079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16-34 años</w:t>
      </w:r>
      <w:r w:rsidR="00F267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5813D2A" w14:textId="3B895A1E" w:rsidR="00BF3450" w:rsidRDefault="00BF3450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E1DB4" w14:textId="1356E783" w:rsidR="00BF3450" w:rsidRDefault="00BF3450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El espacio </w:t>
      </w:r>
      <w:r w:rsidR="00912BBC">
        <w:rPr>
          <w:rFonts w:ascii="Arial" w:eastAsia="Times New Roman" w:hAnsi="Arial" w:cs="Arial"/>
          <w:sz w:val="24"/>
          <w:szCs w:val="24"/>
          <w:lang w:eastAsia="es-ES"/>
        </w:rPr>
        <w:t xml:space="preserve">emitió el </w:t>
      </w:r>
      <w:r w:rsidR="00912BBC" w:rsidRPr="00912BB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spot</w:t>
      </w:r>
      <w:r w:rsidR="00912BBC">
        <w:rPr>
          <w:rFonts w:ascii="Arial" w:eastAsia="Times New Roman" w:hAnsi="Arial" w:cs="Arial"/>
          <w:sz w:val="24"/>
          <w:szCs w:val="24"/>
          <w:lang w:eastAsia="es-ES"/>
        </w:rPr>
        <w:t xml:space="preserve"> más visto del jueves, Estrella Damm, con un 8,7% de </w:t>
      </w:r>
      <w:r w:rsidR="00912BBC" w:rsidRPr="00912BBC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rating</w:t>
      </w:r>
      <w:r w:rsidR="00912BBC">
        <w:rPr>
          <w:rFonts w:ascii="Arial" w:eastAsia="Times New Roman" w:hAnsi="Arial" w:cs="Arial"/>
          <w:sz w:val="24"/>
          <w:szCs w:val="24"/>
          <w:lang w:eastAsia="es-ES"/>
        </w:rPr>
        <w:t xml:space="preserve"> publicitario. S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 xml:space="preserve">e impuso 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</w:t>
      </w:r>
      <w:r w:rsidR="00912BBC">
        <w:rPr>
          <w:rFonts w:ascii="Arial" w:eastAsia="Times New Roman" w:hAnsi="Arial" w:cs="Arial"/>
          <w:sz w:val="24"/>
          <w:szCs w:val="24"/>
          <w:lang w:eastAsia="es-ES"/>
        </w:rPr>
        <w:t xml:space="preserve">a Antena 3 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Pr="00FC3B9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</w:t>
      </w:r>
      <w:r w:rsidR="00FD40B8">
        <w:rPr>
          <w:rFonts w:ascii="Arial" w:eastAsia="Times New Roman" w:hAnsi="Arial" w:cs="Arial"/>
          <w:sz w:val="24"/>
          <w:szCs w:val="24"/>
          <w:lang w:eastAsia="es-ES"/>
        </w:rPr>
        <w:t xml:space="preserve"> y superó su media nacional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912BBC" w:rsidRPr="0059726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</w:t>
      </w:r>
      <w:r w:rsidR="00912BBC">
        <w:rPr>
          <w:rFonts w:ascii="Arial" w:eastAsia="Times New Roman" w:hAnsi="Arial" w:cs="Arial"/>
          <w:sz w:val="24"/>
          <w:szCs w:val="24"/>
          <w:lang w:eastAsia="es-ES"/>
        </w:rPr>
        <w:t xml:space="preserve"> (41,1%), </w:t>
      </w:r>
      <w:r w:rsidR="0060463A"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(3</w:t>
      </w:r>
      <w:r w:rsidR="00912B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60463A"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912B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60463A"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Murcia (</w:t>
      </w:r>
      <w:r w:rsidR="00912B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29,2</w:t>
      </w:r>
      <w:r w:rsidR="0060463A"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C45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Castilla </w:t>
      </w:r>
      <w:r w:rsidR="00664B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0C45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 Mancha (28,6%)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2FFA093" w14:textId="0A1A5CC9" w:rsidR="002B669C" w:rsidRDefault="002B669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BE08BD" w14:textId="52F6CB00" w:rsidR="0060463A" w:rsidRPr="0060463A" w:rsidRDefault="0060463A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0463A"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Tentaciones: Expr</w:t>
      </w:r>
      <w:r w:rsidR="006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6705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 xml:space="preserve">, también 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 xml:space="preserve">fue lo más visto en su banda de emisión con 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>un 1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8,</w:t>
      </w:r>
      <w:r>
        <w:rPr>
          <w:rFonts w:ascii="Arial" w:eastAsia="Times New Roman" w:hAnsi="Arial" w:cs="Arial"/>
          <w:sz w:val="24"/>
          <w:szCs w:val="24"/>
          <w:lang w:eastAsia="es-ES"/>
        </w:rPr>
        <w:t>9%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>3,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>M, frente al 1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 xml:space="preserve">% de Antena 3. Creció hasta el 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6D6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r w:rsidRPr="0060463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6046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60463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A3C3F7E" w14:textId="1CE508D2" w:rsidR="0060463A" w:rsidRDefault="0060463A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C6DCD7" w14:textId="3A5C1478" w:rsidR="002B669C" w:rsidRDefault="002B669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‘La Isla de las Tentaciones’, la serie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D7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 hogar, mi destino’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170B">
        <w:rPr>
          <w:rFonts w:ascii="Arial" w:eastAsia="Times New Roman" w:hAnsi="Arial" w:cs="Arial"/>
          <w:sz w:val="24"/>
          <w:szCs w:val="24"/>
          <w:lang w:eastAsia="es-ES"/>
        </w:rPr>
        <w:t xml:space="preserve">lideró su franja con un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7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F17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6F170B" w:rsidRPr="006F170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frente al </w:t>
      </w:r>
      <w:r w:rsidR="00D714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705EE">
        <w:rPr>
          <w:rFonts w:ascii="Arial" w:eastAsia="Times New Roman" w:hAnsi="Arial" w:cs="Arial"/>
          <w:sz w:val="24"/>
          <w:szCs w:val="24"/>
          <w:lang w:eastAsia="es-ES"/>
        </w:rPr>
        <w:t>su principal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7BB47E9C" w14:textId="03FE8D6F" w:rsidR="002B669C" w:rsidRDefault="002B669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1F3B6B" w14:textId="506629E4" w:rsidR="0040347B" w:rsidRDefault="002B669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6C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la </w:t>
      </w:r>
      <w:r w:rsidRPr="00D26C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443A3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43A3D" w:rsidRPr="00443A3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 xml:space="preserve"> y también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170B">
        <w:rPr>
          <w:rFonts w:ascii="Arial" w:eastAsia="Times New Roman" w:hAnsi="Arial" w:cs="Arial"/>
          <w:sz w:val="24"/>
          <w:szCs w:val="24"/>
          <w:lang w:eastAsia="es-ES"/>
        </w:rPr>
        <w:t>se impuso en 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 xml:space="preserve">, el </w:t>
      </w:r>
      <w:r w:rsidR="006D6DC9" w:rsidRPr="006D6DC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 xml:space="preserve"> con un 17,6% 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FC3B9B"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 xml:space="preserve"> con un 2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>%.</w:t>
      </w:r>
      <w:r w:rsidR="00A92C7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78ECC236" w14:textId="2DE39C50" w:rsidR="002B669C" w:rsidRDefault="002B669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FF462" w14:textId="4BBC9647" w:rsidR="002B669C" w:rsidRDefault="002B669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una jornada más el </w:t>
      </w:r>
      <w:r w:rsidR="00072C5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magacín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matinal líder con un </w:t>
      </w:r>
      <w:r w:rsidR="00BC4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6D6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BC4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6D6D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706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superando 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 xml:space="preserve">ampliamente </w:t>
      </w:r>
      <w:r>
        <w:rPr>
          <w:rFonts w:ascii="Arial" w:eastAsia="Times New Roman" w:hAnsi="Arial" w:cs="Arial"/>
          <w:sz w:val="24"/>
          <w:szCs w:val="24"/>
          <w:lang w:eastAsia="es-ES"/>
        </w:rPr>
        <w:t>en su horario el 1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 ‘Espejo Público’.</w:t>
      </w:r>
    </w:p>
    <w:p w14:paraId="210EA42D" w14:textId="01831A63" w:rsidR="002B669C" w:rsidRDefault="002B669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6D837A" w14:textId="61EA7849" w:rsidR="002B669C" w:rsidRDefault="002B669C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oferta más vista de la tarde con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BC40B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,1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1,8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líderes en sus 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respectivos horarios</w:t>
      </w:r>
      <w:r>
        <w:rPr>
          <w:rFonts w:ascii="Arial" w:eastAsia="Times New Roman" w:hAnsi="Arial" w:cs="Arial"/>
          <w:sz w:val="24"/>
          <w:szCs w:val="24"/>
          <w:lang w:eastAsia="es-ES"/>
        </w:rPr>
        <w:t>, en l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que Antena 3 promedió un 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9,3</w:t>
      </w:r>
      <w:r>
        <w:rPr>
          <w:rFonts w:ascii="Arial" w:eastAsia="Times New Roman" w:hAnsi="Arial" w:cs="Arial"/>
          <w:sz w:val="24"/>
          <w:szCs w:val="24"/>
          <w:lang w:eastAsia="es-ES"/>
        </w:rPr>
        <w:t>% y un 1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D6DC9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de cuota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5F07C6B" w14:textId="0197B3D2" w:rsidR="000F61A3" w:rsidRDefault="000F61A3" w:rsidP="00912BBC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17271C" w14:textId="41248915" w:rsidR="00B76734" w:rsidRDefault="001467CE" w:rsidP="001467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  <w:r w:rsidRPr="001467CE"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  <w:t>El Levante-Ath.Bilbao de la Copa del Rey, emisión más vista de la temporada en Cuatro</w:t>
      </w:r>
    </w:p>
    <w:p w14:paraId="59AD5F6C" w14:textId="6B329F2E" w:rsidR="001467CE" w:rsidRDefault="001467CE" w:rsidP="001467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4"/>
          <w:szCs w:val="24"/>
          <w:lang w:eastAsia="es-ES"/>
        </w:rPr>
      </w:pPr>
    </w:p>
    <w:p w14:paraId="10118599" w14:textId="72B9E2D1" w:rsidR="001467CE" w:rsidRPr="001B2FE8" w:rsidRDefault="001C27D9" w:rsidP="001467CE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Pr="001C27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registró ayer un 11% de </w:t>
      </w:r>
      <w:r w:rsidRPr="001C27D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1C27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</w:t>
      </w:r>
      <w:r w:rsidRPr="001C27D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Pr="001C27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 mejor dato en esta franja en el último año</w:t>
      </w:r>
      <w:r>
        <w:rPr>
          <w:rFonts w:ascii="Arial" w:eastAsia="Times New Roman" w:hAnsi="Arial" w:cs="Arial"/>
          <w:sz w:val="24"/>
          <w:szCs w:val="24"/>
          <w:lang w:eastAsia="es-ES"/>
        </w:rPr>
        <w:t>, impulsado por el partido de segunda semifinal de la Copa del Rey de fútbol que enfrentó al Levante y el Ath.Bilbao</w:t>
      </w:r>
      <w:r w:rsidR="006F170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F170B">
        <w:rPr>
          <w:rFonts w:ascii="Arial" w:eastAsia="Times New Roman" w:hAnsi="Arial" w:cs="Arial"/>
          <w:sz w:val="24"/>
          <w:szCs w:val="24"/>
          <w:lang w:eastAsia="es-ES"/>
        </w:rPr>
        <w:t xml:space="preserve">con resultado final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prórroga. Con </w:t>
      </w:r>
      <w:r w:rsidR="006F170B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E260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12,3% </w:t>
      </w:r>
      <w:r w:rsidR="006F170B" w:rsidRPr="00E260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6F170B" w:rsidRPr="00E260C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6F170B" w:rsidRPr="00E260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E260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2.2M </w:t>
      </w:r>
      <w:r w:rsidR="006F170B" w:rsidRPr="00E260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espectadores</w:t>
      </w:r>
      <w:r w:rsidR="006F17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alcanzados en el partido y </w:t>
      </w:r>
      <w:r w:rsidR="006F170B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Pr="00E260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14,7% y 2.3M </w:t>
      </w:r>
      <w:r w:rsidRPr="00664BE3">
        <w:rPr>
          <w:rFonts w:ascii="Arial" w:eastAsia="Times New Roman" w:hAnsi="Arial" w:cs="Arial"/>
          <w:sz w:val="24"/>
          <w:szCs w:val="24"/>
          <w:lang w:eastAsia="es-ES"/>
        </w:rPr>
        <w:t>en la prórroga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encuentro deportivo se convirtió en la </w:t>
      </w:r>
      <w:r w:rsidRPr="006F170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 la temporada en Cuatro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260C6">
        <w:rPr>
          <w:rFonts w:ascii="Arial" w:eastAsia="Times New Roman" w:hAnsi="Arial" w:cs="Arial"/>
          <w:sz w:val="24"/>
          <w:szCs w:val="24"/>
          <w:lang w:eastAsia="es-ES"/>
        </w:rPr>
        <w:t xml:space="preserve"> Además, destacó la audiencia registrada en </w:t>
      </w:r>
      <w:r w:rsidR="00E260C6" w:rsidRPr="001B2F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Euskadi</w:t>
      </w:r>
      <w:r w:rsidR="00E260C6">
        <w:rPr>
          <w:rFonts w:ascii="Arial" w:eastAsia="Times New Roman" w:hAnsi="Arial" w:cs="Arial"/>
          <w:sz w:val="24"/>
          <w:szCs w:val="24"/>
          <w:lang w:eastAsia="es-ES"/>
        </w:rPr>
        <w:t xml:space="preserve">, donde los primeros 90 minutos del choque registraron un </w:t>
      </w:r>
      <w:r w:rsidR="00E260C6" w:rsidRPr="001B2F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39,1% de </w:t>
      </w:r>
      <w:r w:rsidR="00E260C6" w:rsidRPr="001B2FE8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E260C6">
        <w:rPr>
          <w:rFonts w:ascii="Arial" w:eastAsia="Times New Roman" w:hAnsi="Arial" w:cs="Arial"/>
          <w:sz w:val="24"/>
          <w:szCs w:val="24"/>
          <w:lang w:eastAsia="es-ES"/>
        </w:rPr>
        <w:t xml:space="preserve">, mientras que la prórroga fue seguida por </w:t>
      </w:r>
      <w:r w:rsidR="001B2FE8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E260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60C6" w:rsidRPr="001B2F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48,3% de </w:t>
      </w:r>
      <w:r w:rsidR="001B2FE8" w:rsidRPr="001B2F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</w:t>
      </w:r>
      <w:r w:rsidR="00E260C6" w:rsidRPr="001B2F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cuota de pantalla.</w:t>
      </w:r>
    </w:p>
    <w:p w14:paraId="2F4EB101" w14:textId="78E9379F" w:rsidR="001C27D9" w:rsidRDefault="001C27D9" w:rsidP="001467CE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07BACF" w14:textId="5D9344FE" w:rsidR="001C27D9" w:rsidRPr="001C27D9" w:rsidRDefault="001C27D9" w:rsidP="001467CE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estos </w:t>
      </w:r>
      <w:r w:rsidR="00386CC9">
        <w:rPr>
          <w:rFonts w:ascii="Arial" w:eastAsia="Times New Roman" w:hAnsi="Arial" w:cs="Arial"/>
          <w:sz w:val="24"/>
          <w:szCs w:val="24"/>
          <w:lang w:eastAsia="es-ES"/>
        </w:rPr>
        <w:t xml:space="preserve">datos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obtenidos por Telecinco y Cuatro en la franja de </w:t>
      </w:r>
      <w:r w:rsidRPr="004370C3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Mediaset </w:t>
      </w:r>
      <w:r w:rsidR="00597262">
        <w:rPr>
          <w:rFonts w:ascii="Arial" w:eastAsia="Times New Roman" w:hAnsi="Arial" w:cs="Arial"/>
          <w:sz w:val="24"/>
          <w:szCs w:val="24"/>
          <w:lang w:eastAsia="es-ES"/>
        </w:rPr>
        <w:t>anotó</w:t>
      </w:r>
      <w:r w:rsidR="001E1C97">
        <w:rPr>
          <w:rFonts w:ascii="Arial" w:eastAsia="Times New Roman" w:hAnsi="Arial" w:cs="Arial"/>
          <w:sz w:val="24"/>
          <w:szCs w:val="24"/>
          <w:lang w:eastAsia="es-ES"/>
        </w:rPr>
        <w:t xml:space="preserve"> ayer un 34,6% de </w:t>
      </w:r>
      <w:r w:rsidR="001E1C97" w:rsidRPr="001E1C97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1E1C97">
        <w:rPr>
          <w:rFonts w:ascii="Arial" w:eastAsia="Times New Roman" w:hAnsi="Arial" w:cs="Arial"/>
          <w:sz w:val="24"/>
          <w:szCs w:val="24"/>
          <w:lang w:eastAsia="es-ES"/>
        </w:rPr>
        <w:t>, su mejor dato en jueves del último año</w:t>
      </w:r>
      <w:r w:rsidR="004370C3">
        <w:rPr>
          <w:rFonts w:ascii="Arial" w:eastAsia="Times New Roman" w:hAnsi="Arial" w:cs="Arial"/>
          <w:sz w:val="24"/>
          <w:szCs w:val="24"/>
          <w:lang w:eastAsia="es-ES"/>
        </w:rPr>
        <w:t xml:space="preserve"> en esta franja</w:t>
      </w:r>
      <w:r w:rsidR="001E1C97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1C27D9" w:rsidRPr="001C27D9" w:rsidSect="00912BBC">
      <w:footerReference w:type="default" r:id="rId9"/>
      <w:pgSz w:w="11906" w:h="16838"/>
      <w:pgMar w:top="1417" w:right="1558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9B7A2" w14:textId="77777777" w:rsidR="0033662D" w:rsidRDefault="0033662D" w:rsidP="00B23904">
      <w:pPr>
        <w:spacing w:after="0" w:line="240" w:lineRule="auto"/>
      </w:pPr>
      <w:r>
        <w:separator/>
      </w:r>
    </w:p>
  </w:endnote>
  <w:endnote w:type="continuationSeparator" w:id="0">
    <w:p w14:paraId="62938BE7" w14:textId="77777777" w:rsidR="0033662D" w:rsidRDefault="0033662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97390" w14:textId="77777777" w:rsidR="0033662D" w:rsidRDefault="0033662D" w:rsidP="00B23904">
      <w:pPr>
        <w:spacing w:after="0" w:line="240" w:lineRule="auto"/>
      </w:pPr>
      <w:r>
        <w:separator/>
      </w:r>
    </w:p>
  </w:footnote>
  <w:footnote w:type="continuationSeparator" w:id="0">
    <w:p w14:paraId="7FB12D1C" w14:textId="77777777" w:rsidR="0033662D" w:rsidRDefault="0033662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4E0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2C59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6DA4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4534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67CE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2FE8"/>
    <w:rsid w:val="001B397F"/>
    <w:rsid w:val="001B71F5"/>
    <w:rsid w:val="001C008B"/>
    <w:rsid w:val="001C27D9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1C97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3ED6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4D1E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10F0"/>
    <w:rsid w:val="002921C5"/>
    <w:rsid w:val="002922BB"/>
    <w:rsid w:val="002930AD"/>
    <w:rsid w:val="002A5468"/>
    <w:rsid w:val="002A63C6"/>
    <w:rsid w:val="002B10C9"/>
    <w:rsid w:val="002B3425"/>
    <w:rsid w:val="002B3D92"/>
    <w:rsid w:val="002B65EB"/>
    <w:rsid w:val="002B669C"/>
    <w:rsid w:val="002B6FFC"/>
    <w:rsid w:val="002C40E7"/>
    <w:rsid w:val="002C4D52"/>
    <w:rsid w:val="002C6DAD"/>
    <w:rsid w:val="002C71E7"/>
    <w:rsid w:val="002C7272"/>
    <w:rsid w:val="002D0DD4"/>
    <w:rsid w:val="002D16D5"/>
    <w:rsid w:val="002D1D49"/>
    <w:rsid w:val="002D2BEA"/>
    <w:rsid w:val="002D3350"/>
    <w:rsid w:val="002D414F"/>
    <w:rsid w:val="002E0FA7"/>
    <w:rsid w:val="002E3437"/>
    <w:rsid w:val="002E380A"/>
    <w:rsid w:val="002E41C0"/>
    <w:rsid w:val="002E5552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4E9C"/>
    <w:rsid w:val="00335432"/>
    <w:rsid w:val="00335953"/>
    <w:rsid w:val="003365E4"/>
    <w:rsid w:val="0033662D"/>
    <w:rsid w:val="00336D57"/>
    <w:rsid w:val="0033719C"/>
    <w:rsid w:val="00337E54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5D8A"/>
    <w:rsid w:val="00386CC9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3654"/>
    <w:rsid w:val="003C4280"/>
    <w:rsid w:val="003C6638"/>
    <w:rsid w:val="003C74A2"/>
    <w:rsid w:val="003D10B4"/>
    <w:rsid w:val="003D2774"/>
    <w:rsid w:val="003D5AB5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47B"/>
    <w:rsid w:val="004035E3"/>
    <w:rsid w:val="004063D9"/>
    <w:rsid w:val="00410325"/>
    <w:rsid w:val="0041125E"/>
    <w:rsid w:val="004112B9"/>
    <w:rsid w:val="004127F6"/>
    <w:rsid w:val="00420F89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0C3"/>
    <w:rsid w:val="004378B7"/>
    <w:rsid w:val="00437C31"/>
    <w:rsid w:val="00440932"/>
    <w:rsid w:val="00442AF8"/>
    <w:rsid w:val="00443360"/>
    <w:rsid w:val="00443A3D"/>
    <w:rsid w:val="00444362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1770"/>
    <w:rsid w:val="004B201E"/>
    <w:rsid w:val="004B206F"/>
    <w:rsid w:val="004B2732"/>
    <w:rsid w:val="004B34F2"/>
    <w:rsid w:val="004B3762"/>
    <w:rsid w:val="004B3996"/>
    <w:rsid w:val="004B68C6"/>
    <w:rsid w:val="004B70D7"/>
    <w:rsid w:val="004B7A29"/>
    <w:rsid w:val="004C1043"/>
    <w:rsid w:val="004C1E3E"/>
    <w:rsid w:val="004C568E"/>
    <w:rsid w:val="004C5917"/>
    <w:rsid w:val="004C6489"/>
    <w:rsid w:val="004D2495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752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618D"/>
    <w:rsid w:val="0059107A"/>
    <w:rsid w:val="00591B3C"/>
    <w:rsid w:val="00592062"/>
    <w:rsid w:val="005929C5"/>
    <w:rsid w:val="00592F20"/>
    <w:rsid w:val="00593111"/>
    <w:rsid w:val="005942B4"/>
    <w:rsid w:val="00595752"/>
    <w:rsid w:val="00595860"/>
    <w:rsid w:val="00595B8B"/>
    <w:rsid w:val="00597262"/>
    <w:rsid w:val="0059742C"/>
    <w:rsid w:val="00597FED"/>
    <w:rsid w:val="005A1523"/>
    <w:rsid w:val="005A182D"/>
    <w:rsid w:val="005A2041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1BC4"/>
    <w:rsid w:val="005C36F7"/>
    <w:rsid w:val="005C514C"/>
    <w:rsid w:val="005C5287"/>
    <w:rsid w:val="005C5AEB"/>
    <w:rsid w:val="005D0271"/>
    <w:rsid w:val="005D20B9"/>
    <w:rsid w:val="005D21B0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463A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4BE3"/>
    <w:rsid w:val="00667EC5"/>
    <w:rsid w:val="00670056"/>
    <w:rsid w:val="006705EE"/>
    <w:rsid w:val="006738B6"/>
    <w:rsid w:val="00675907"/>
    <w:rsid w:val="006808AA"/>
    <w:rsid w:val="006813CB"/>
    <w:rsid w:val="006831B1"/>
    <w:rsid w:val="006837FB"/>
    <w:rsid w:val="00683A32"/>
    <w:rsid w:val="006867FB"/>
    <w:rsid w:val="00686A6A"/>
    <w:rsid w:val="00687312"/>
    <w:rsid w:val="00690843"/>
    <w:rsid w:val="00691104"/>
    <w:rsid w:val="00691369"/>
    <w:rsid w:val="00691DCC"/>
    <w:rsid w:val="00693097"/>
    <w:rsid w:val="00693904"/>
    <w:rsid w:val="00693B98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D6DC9"/>
    <w:rsid w:val="006E02BE"/>
    <w:rsid w:val="006E2F0B"/>
    <w:rsid w:val="006E3994"/>
    <w:rsid w:val="006E3B24"/>
    <w:rsid w:val="006E4DCC"/>
    <w:rsid w:val="006E54A2"/>
    <w:rsid w:val="006E707B"/>
    <w:rsid w:val="006F0A46"/>
    <w:rsid w:val="006F170B"/>
    <w:rsid w:val="006F3E46"/>
    <w:rsid w:val="006F4E9B"/>
    <w:rsid w:val="006F72D0"/>
    <w:rsid w:val="006F7808"/>
    <w:rsid w:val="00700068"/>
    <w:rsid w:val="007008DD"/>
    <w:rsid w:val="0070380F"/>
    <w:rsid w:val="00704381"/>
    <w:rsid w:val="0070519A"/>
    <w:rsid w:val="00706DF9"/>
    <w:rsid w:val="00712687"/>
    <w:rsid w:val="007142BE"/>
    <w:rsid w:val="00714432"/>
    <w:rsid w:val="00721D0E"/>
    <w:rsid w:val="007249E6"/>
    <w:rsid w:val="00724F0B"/>
    <w:rsid w:val="00725896"/>
    <w:rsid w:val="00725F3B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6B1F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97B3D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576E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0D25"/>
    <w:rsid w:val="008E0EF4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F6C"/>
    <w:rsid w:val="009050B9"/>
    <w:rsid w:val="00912BB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4DBC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C5692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2A18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5CF2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876F2"/>
    <w:rsid w:val="00A905E3"/>
    <w:rsid w:val="00A91FB3"/>
    <w:rsid w:val="00A92C71"/>
    <w:rsid w:val="00A92EE8"/>
    <w:rsid w:val="00A94BC7"/>
    <w:rsid w:val="00A94FBD"/>
    <w:rsid w:val="00A959D4"/>
    <w:rsid w:val="00A97A39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5F14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32A5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76734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40BC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450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520C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3D41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1FC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4863"/>
    <w:rsid w:val="00D26C48"/>
    <w:rsid w:val="00D26D85"/>
    <w:rsid w:val="00D311E3"/>
    <w:rsid w:val="00D36449"/>
    <w:rsid w:val="00D36CB7"/>
    <w:rsid w:val="00D41EA6"/>
    <w:rsid w:val="00D42CF3"/>
    <w:rsid w:val="00D45477"/>
    <w:rsid w:val="00D458F8"/>
    <w:rsid w:val="00D45E5F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41A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8763A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B5739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60C6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07B9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18C"/>
    <w:rsid w:val="00E83590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E9"/>
    <w:rsid w:val="00EA030C"/>
    <w:rsid w:val="00EA1E9F"/>
    <w:rsid w:val="00EA2B1C"/>
    <w:rsid w:val="00EA3981"/>
    <w:rsid w:val="00EA6962"/>
    <w:rsid w:val="00EB1D5B"/>
    <w:rsid w:val="00EB28D5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676E"/>
    <w:rsid w:val="00F27A50"/>
    <w:rsid w:val="00F300AC"/>
    <w:rsid w:val="00F33DB5"/>
    <w:rsid w:val="00F33FEB"/>
    <w:rsid w:val="00F342D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3B9B"/>
    <w:rsid w:val="00FC42A2"/>
    <w:rsid w:val="00FC42CF"/>
    <w:rsid w:val="00FC7A42"/>
    <w:rsid w:val="00FD1479"/>
    <w:rsid w:val="00FD17D0"/>
    <w:rsid w:val="00FD2B82"/>
    <w:rsid w:val="00FD40B8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527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2020-03-09T09:59:00Z</cp:lastPrinted>
  <dcterms:created xsi:type="dcterms:W3CDTF">2021-03-05T10:43:00Z</dcterms:created>
  <dcterms:modified xsi:type="dcterms:W3CDTF">2021-03-05T10:48:00Z</dcterms:modified>
</cp:coreProperties>
</file>