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0EB9" w14:textId="77777777" w:rsidR="009B2370" w:rsidRPr="00067296" w:rsidRDefault="00CE6340" w:rsidP="008749EF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82081DE" wp14:editId="430F294C">
            <wp:simplePos x="0" y="0"/>
            <wp:positionH relativeFrom="page">
              <wp:posOffset>4102100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28CF2" w14:textId="77777777" w:rsidR="00B3661D" w:rsidRDefault="00B3661D" w:rsidP="00874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680660" w14:textId="77777777" w:rsidR="00BF261C" w:rsidRDefault="00BF261C" w:rsidP="00874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C94CAB" w14:textId="2CC59ACF" w:rsidR="00E9237B" w:rsidRDefault="00B23904" w:rsidP="00874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425F3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E70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E7852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98F1403" w14:textId="0CB2DC8D" w:rsidR="00313B0B" w:rsidRPr="008749EF" w:rsidRDefault="00313B0B" w:rsidP="008749EF">
      <w:pPr>
        <w:spacing w:after="0" w:line="240" w:lineRule="auto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60FF9366" w14:textId="37B7C18B" w:rsidR="00FA545E" w:rsidRPr="00D52EBF" w:rsidRDefault="004B1217" w:rsidP="008749E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Boing</w:t>
      </w:r>
      <w:r w:rsidR="00360E55"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, canal infantil líder de la televisión comercial,</w:t>
      </w:r>
      <w:r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B00DB8"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diseña</w:t>
      </w:r>
      <w:r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nuevos </w:t>
      </w:r>
      <w:r w:rsidR="00360E55"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productos</w:t>
      </w:r>
      <w:r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360E55"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publicitarios</w:t>
      </w:r>
      <w:r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para el sector juguetero</w:t>
      </w:r>
      <w:r w:rsidR="0038753B" w:rsidRPr="00D52EB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en Navidad</w:t>
      </w:r>
    </w:p>
    <w:p w14:paraId="47C6A7DD" w14:textId="77777777" w:rsidR="00FA545E" w:rsidRDefault="00FA545E" w:rsidP="008749E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B22B422" w14:textId="530FB24E" w:rsidR="00147F41" w:rsidRDefault="0038753B" w:rsidP="008749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90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B61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completa</w:t>
      </w:r>
      <w:r w:rsidR="005E4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0D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oferta </w:t>
      </w:r>
      <w:r w:rsidR="005E4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desarrollo </w:t>
      </w:r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formatos 360º que combinan televisión y digital como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exclusivo</w:t>
      </w:r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0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‘Calendario de Adviento 2020’ </w:t>
      </w:r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Mattel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se suma al exitoso ‘Escaparate Boing’ al que se ha vinculado </w:t>
      </w:r>
      <w:proofErr w:type="spellStart"/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Hasbro</w:t>
      </w:r>
      <w:proofErr w:type="spellEnd"/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0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ha generado </w:t>
      </w:r>
      <w:r w:rsidR="005E4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nueva opción de integración comercial, ‘Y si adelantamos la carta’, </w:t>
      </w:r>
      <w:r w:rsidR="0090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mano de</w:t>
      </w:r>
      <w:r w:rsidR="005E44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Bandai.</w:t>
      </w:r>
    </w:p>
    <w:p w14:paraId="5D60A4DA" w14:textId="5FA12E16" w:rsidR="003E6FD0" w:rsidRDefault="003E6FD0" w:rsidP="008749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571FB9A" w14:textId="28C8BD2A" w:rsidR="003E6FD0" w:rsidRPr="00913C06" w:rsidRDefault="00907A64" w:rsidP="008749E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B039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B03918" w:rsidRPr="0090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portfolio</w:t>
      </w:r>
      <w:proofErr w:type="gramEnd"/>
      <w:r w:rsidR="00B039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Boing se caracteriza</w:t>
      </w:r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los elevados niveles de alcance y cobertura que ofrece a las marcas </w:t>
      </w:r>
      <w:r w:rsidR="00B039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por</w:t>
      </w:r>
      <w:r w:rsidR="003E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seguridad, confianza y complementariedad </w:t>
      </w:r>
      <w:r w:rsidR="00B039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garantizan sus soportes, entre los que se encuentra la </w:t>
      </w:r>
      <w:r w:rsidR="00B03918" w:rsidRPr="00B0391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app</w:t>
      </w:r>
      <w:r w:rsidR="00B039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Boing, que acumula ya 1,7 millones de descargas y un promedio de </w:t>
      </w:r>
      <w:r w:rsidR="00B03918" w:rsidRPr="00F425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40564D" w:rsidRPr="00F425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03918" w:rsidRPr="00F425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reproducciones de vídeo en </w:t>
      </w:r>
      <w:r w:rsidR="0040564D" w:rsidRPr="00F425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noviembre</w:t>
      </w:r>
      <w:r w:rsidR="00B03918" w:rsidRPr="00F425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D6556F0" w14:textId="77777777" w:rsidR="005E3A5C" w:rsidRPr="00D6165D" w:rsidRDefault="005E3A5C" w:rsidP="008749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8F61FA7" w14:textId="46F31139" w:rsidR="00894BD0" w:rsidRDefault="001E23DC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su objetivo de seguir siendo el mejor escaparate posible para las marcas</w:t>
      </w:r>
      <w:r w:rsidR="004C11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especialmente en las semanas previas a la Navidad,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uno de los periodos de mayor consumo de televisión y demanda comercial, </w:t>
      </w:r>
      <w:r w:rsidR="00BE342B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BE342B"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través de </w:t>
      </w:r>
      <w:proofErr w:type="spellStart"/>
      <w:r w:rsidR="00BE342B"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>Publiespaña</w:t>
      </w:r>
      <w:proofErr w:type="spellEnd"/>
      <w:r w:rsidR="00BE342B"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813DDC">
        <w:rPr>
          <w:rFonts w:ascii="Arial" w:eastAsia="Times New Roman" w:hAnsi="Arial" w:cs="Arial"/>
          <w:bCs/>
          <w:sz w:val="24"/>
          <w:szCs w:val="24"/>
          <w:lang w:eastAsia="es-ES"/>
        </w:rPr>
        <w:t>completado</w:t>
      </w:r>
      <w:r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E342B"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07A64">
        <w:rPr>
          <w:rFonts w:ascii="Arial" w:eastAsia="Times New Roman" w:hAnsi="Arial" w:cs="Arial"/>
          <w:b/>
          <w:sz w:val="24"/>
          <w:szCs w:val="24"/>
          <w:lang w:eastAsia="es-ES"/>
        </w:rPr>
        <w:t>oferta</w:t>
      </w:r>
      <w:r w:rsidRPr="004C11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E34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Boing</w:t>
      </w:r>
      <w:r w:rsidRPr="004C11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>para esta última parte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diseño de </w:t>
      </w:r>
      <w:r w:rsidRPr="004C11E9">
        <w:rPr>
          <w:rFonts w:ascii="Arial" w:eastAsia="Times New Roman" w:hAnsi="Arial" w:cs="Arial"/>
          <w:b/>
          <w:sz w:val="24"/>
          <w:szCs w:val="24"/>
          <w:lang w:eastAsia="es-ES"/>
        </w:rPr>
        <w:t>nuevos formatos publicitarios 360º y de integración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adaptarse a las necesidades de sus clientes, especialmente del sector juguetero.</w:t>
      </w:r>
    </w:p>
    <w:p w14:paraId="70C9AD70" w14:textId="040F97C7" w:rsidR="004C11E9" w:rsidRDefault="004C11E9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F205A1" w14:textId="2D9B68D0" w:rsidR="00BE342B" w:rsidRDefault="00BE342B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4C11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C11E9" w:rsidRPr="004C11E9">
        <w:rPr>
          <w:rFonts w:ascii="Arial" w:eastAsia="Times New Roman" w:hAnsi="Arial" w:cs="Arial"/>
          <w:b/>
          <w:sz w:val="24"/>
          <w:szCs w:val="24"/>
          <w:lang w:eastAsia="es-ES"/>
        </w:rPr>
        <w:t>canal infantil líder de las televisiones comerciales por octava temporada consecutiva</w:t>
      </w:r>
      <w:r w:rsidR="008A0E7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C11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desarrollado </w:t>
      </w:r>
      <w:r w:rsidR="004C11E9" w:rsidRPr="004C11E9">
        <w:rPr>
          <w:rFonts w:ascii="Arial" w:eastAsia="Times New Roman" w:hAnsi="Arial" w:cs="Arial"/>
          <w:b/>
          <w:sz w:val="24"/>
          <w:szCs w:val="24"/>
          <w:lang w:eastAsia="es-ES"/>
        </w:rPr>
        <w:t>en exclusiva para Mattel ‘Calendario de Adviento 2020’</w:t>
      </w:r>
      <w:r w:rsidR="004C11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acción que combina la presencia en </w:t>
      </w:r>
      <w:r w:rsidRPr="00BE342B">
        <w:rPr>
          <w:rFonts w:ascii="Arial" w:eastAsia="Times New Roman" w:hAnsi="Arial" w:cs="Arial"/>
          <w:b/>
          <w:sz w:val="24"/>
          <w:szCs w:val="24"/>
          <w:lang w:eastAsia="es-ES"/>
        </w:rPr>
        <w:t>televisión y soportes digitales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C11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desde esta semana y hasta el próximo 24 de diciembre permite a los niños descubrir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día a</w:t>
      </w:r>
      <w:r w:rsidR="004C11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día diferentes juegos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actividades protagonizadas por productos de la marca, como Barbie, Hot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Wheels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Cave Club, y por juegos </w:t>
      </w:r>
      <w:r w:rsidR="0090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factoría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Pictionary Air, Baño Boom, La Gallina Josefina, Monos Locos, </w:t>
      </w:r>
      <w:r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4218E6"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>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Scrabble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Este calendario digital, que genera una cuenta atrás hasta la llegada de la Navidad, está disponible en la </w:t>
      </w:r>
      <w:r w:rsidRPr="00BE34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web de Boing, </w:t>
      </w:r>
      <w:hyperlink r:id="rId9" w:history="1">
        <w:r w:rsidRPr="00BE342B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www.boing.es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la </w:t>
      </w:r>
      <w:proofErr w:type="gramStart"/>
      <w:r w:rsidRPr="00BE34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app</w:t>
      </w:r>
      <w:proofErr w:type="gramEnd"/>
      <w:r w:rsidRPr="00BE34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canal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 de contar con presencia en televisión con un </w:t>
      </w:r>
      <w:r w:rsidRPr="00BE342B">
        <w:rPr>
          <w:rFonts w:ascii="Arial" w:eastAsia="Times New Roman" w:hAnsi="Arial" w:cs="Arial"/>
          <w:b/>
          <w:sz w:val="24"/>
          <w:szCs w:val="24"/>
          <w:lang w:eastAsia="es-ES"/>
        </w:rPr>
        <w:t>spot distinto cada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AE2A585" w14:textId="53F4A3A6" w:rsidR="00BE342B" w:rsidRDefault="00BE342B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370A51" w14:textId="1CED92EF" w:rsidR="00BE342B" w:rsidRDefault="00BE342B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novedad que se suma a otros formatos de éxito </w:t>
      </w:r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>presentados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proofErr w:type="spellStart"/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>Publiespaña</w:t>
      </w:r>
      <w:proofErr w:type="spellEnd"/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oferta comercial para el cuarto trimestre como </w:t>
      </w:r>
      <w:r w:rsidR="00B669B9" w:rsidRPr="00B669B9">
        <w:rPr>
          <w:rFonts w:ascii="Arial" w:eastAsia="Times New Roman" w:hAnsi="Arial" w:cs="Arial"/>
          <w:b/>
          <w:sz w:val="24"/>
          <w:szCs w:val="24"/>
          <w:lang w:eastAsia="es-ES"/>
        </w:rPr>
        <w:t>‘Escaparate Boing’</w:t>
      </w:r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ventana de comunicación específica para lanzamiento de productos y a la que se ha sumado </w:t>
      </w:r>
      <w:proofErr w:type="spellStart"/>
      <w:r w:rsidR="00B669B9" w:rsidRPr="00B669B9">
        <w:rPr>
          <w:rFonts w:ascii="Arial" w:eastAsia="Times New Roman" w:hAnsi="Arial" w:cs="Arial"/>
          <w:b/>
          <w:sz w:val="24"/>
          <w:szCs w:val="24"/>
          <w:lang w:eastAsia="es-ES"/>
        </w:rPr>
        <w:t>Hasbro</w:t>
      </w:r>
      <w:proofErr w:type="spellEnd"/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marca Transformers. Durante dos semanas, la campaña ha incluido </w:t>
      </w:r>
      <w:r w:rsidR="00CC14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‘Historia de juguetes’, </w:t>
      </w:r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C14CF" w:rsidRPr="00CC14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microespacio propio </w:t>
      </w:r>
      <w:r w:rsidR="00B669B9" w:rsidRPr="00CC14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60 segundos </w:t>
      </w:r>
      <w:r w:rsidR="00CC14CF" w:rsidRPr="00CC14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CC14CF" w:rsidRPr="00CC14C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televisión</w:t>
      </w:r>
      <w:r w:rsidR="00E801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01FB"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>en el que diferentes juguetes protagonizan sus propias historias</w:t>
      </w:r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C14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contenidos editoriales y </w:t>
      </w:r>
      <w:r w:rsidR="00B66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concurso </w:t>
      </w:r>
      <w:r w:rsidR="00CC14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alojado en una </w:t>
      </w:r>
      <w:proofErr w:type="spellStart"/>
      <w:r w:rsidR="00CC14CF" w:rsidRPr="00CC14C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landing</w:t>
      </w:r>
      <w:proofErr w:type="spellEnd"/>
      <w:r w:rsidR="00CC14CF" w:rsidRPr="00CC14C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page</w:t>
      </w:r>
      <w:r w:rsidR="00CC14CF" w:rsidRPr="00CC14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marca en la web, la </w:t>
      </w:r>
      <w:proofErr w:type="gramStart"/>
      <w:r w:rsidR="00CC14CF" w:rsidRPr="00E801F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app</w:t>
      </w:r>
      <w:proofErr w:type="gramEnd"/>
      <w:r w:rsidR="00CC14CF" w:rsidRPr="00CC14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las redes sociales de Boing</w:t>
      </w:r>
      <w:r w:rsidR="00CC14C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E5108E8" w14:textId="05CFB328" w:rsidR="00BE342B" w:rsidRDefault="00BE342B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292F6D" w14:textId="1E9314AD" w:rsidR="00DC7ED4" w:rsidRDefault="00CC14CF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14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incorporado</w:t>
      </w:r>
      <w:r w:rsidRPr="00CC14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C14CF">
        <w:rPr>
          <w:rFonts w:ascii="Arial" w:eastAsia="Times New Roman" w:hAnsi="Arial" w:cs="Arial"/>
          <w:b/>
          <w:sz w:val="24"/>
          <w:szCs w:val="24"/>
          <w:lang w:eastAsia="es-ES"/>
        </w:rPr>
        <w:t>nuevas opciones de integración comercial</w:t>
      </w:r>
      <w:r w:rsidRPr="00CC14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</w:t>
      </w:r>
      <w:r w:rsidRPr="00CC14CF">
        <w:rPr>
          <w:rFonts w:ascii="Arial" w:eastAsia="Times New Roman" w:hAnsi="Arial" w:cs="Arial"/>
          <w:b/>
          <w:sz w:val="24"/>
          <w:szCs w:val="24"/>
          <w:lang w:eastAsia="es-ES"/>
        </w:rPr>
        <w:t>‘Y si adelantamos la carta’</w:t>
      </w:r>
      <w:r w:rsidRPr="00CC14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C7E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incluye el diseño de cortinillas de cadena de 5 segundos, que dan paso a un spot de 20 segundos. Un formato al </w:t>
      </w:r>
      <w:r w:rsidR="00DC7ED4"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4C397B"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>Bandai</w:t>
      </w:r>
      <w:r w:rsidR="004C39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7E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 vinculado en noviembre con su producto </w:t>
      </w:r>
      <w:proofErr w:type="spellStart"/>
      <w:r w:rsidR="00DC7ED4">
        <w:rPr>
          <w:rFonts w:ascii="Arial" w:eastAsia="Times New Roman" w:hAnsi="Arial" w:cs="Arial"/>
          <w:bCs/>
          <w:sz w:val="24"/>
          <w:szCs w:val="24"/>
          <w:lang w:eastAsia="es-ES"/>
        </w:rPr>
        <w:t>Goo</w:t>
      </w:r>
      <w:proofErr w:type="spellEnd"/>
      <w:r w:rsidR="00DC7E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Jit Zu.</w:t>
      </w:r>
    </w:p>
    <w:p w14:paraId="0DCFC5FE" w14:textId="606EA6E5" w:rsidR="00E801FB" w:rsidRDefault="00E801FB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057822" w14:textId="03DE1BC0" w:rsidR="00D16F1F" w:rsidRDefault="00D16F1F" w:rsidP="008749E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Boing, sinónimo de seguridad, confianza y complementariedad</w:t>
      </w:r>
    </w:p>
    <w:p w14:paraId="66DB1652" w14:textId="77777777" w:rsidR="00D16F1F" w:rsidRDefault="00D16F1F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459E97" w14:textId="310630F2" w:rsidR="00E801FB" w:rsidRPr="00291E83" w:rsidRDefault="00E801FB" w:rsidP="008749E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907A64">
        <w:rPr>
          <w:rFonts w:ascii="Arial" w:eastAsia="Times New Roman" w:hAnsi="Arial" w:cs="Arial"/>
          <w:bCs/>
          <w:sz w:val="24"/>
          <w:szCs w:val="24"/>
          <w:lang w:eastAsia="es-ES"/>
        </w:rPr>
        <w:t>portfolio</w:t>
      </w:r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07A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garantiza a </w:t>
      </w:r>
      <w:r w:rsidR="004B1B7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sus clientes</w:t>
      </w:r>
      <w:r w:rsidR="00907A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 </w:t>
      </w:r>
      <w:r w:rsidR="00907A64" w:rsidRPr="00F6524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elevado alcance y cobertura</w:t>
      </w:r>
      <w:r w:rsidR="00907A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907A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</w:t>
      </w:r>
      <w:r w:rsidR="00907A64" w:rsidRPr="00411895">
        <w:rPr>
          <w:rFonts w:ascii="Arial" w:hAnsi="Arial" w:cs="Arial"/>
          <w:b/>
          <w:sz w:val="24"/>
          <w:szCs w:val="24"/>
        </w:rPr>
        <w:t>eguridad</w:t>
      </w:r>
      <w:r w:rsidR="00907A64">
        <w:rPr>
          <w:rFonts w:ascii="Arial" w:hAnsi="Arial" w:cs="Arial"/>
          <w:b/>
          <w:sz w:val="24"/>
          <w:szCs w:val="24"/>
        </w:rPr>
        <w:t>, confianza y complementariedad</w:t>
      </w:r>
      <w:r w:rsidR="00907A64"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0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incluye </w:t>
      </w:r>
      <w:r w:rsidR="0090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amplio catálogo de </w:t>
      </w:r>
      <w:r w:rsidRPr="00291E83">
        <w:rPr>
          <w:rFonts w:ascii="Arial" w:eastAsia="Times New Roman" w:hAnsi="Arial" w:cs="Arial"/>
          <w:b/>
          <w:sz w:val="24"/>
          <w:szCs w:val="24"/>
          <w:lang w:eastAsia="es-ES"/>
        </w:rPr>
        <w:t>Iniciativas Especiales</w:t>
      </w:r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>, como ‘</w:t>
      </w:r>
      <w:proofErr w:type="spellStart"/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>Primeríssima</w:t>
      </w:r>
      <w:proofErr w:type="spellEnd"/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‘Hoy es tu día’, ‘Boing Palomitas’, ‘Boing Estreno’ y ‘Boing </w:t>
      </w:r>
      <w:proofErr w:type="spellStart"/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>Name</w:t>
      </w:r>
      <w:proofErr w:type="spellEnd"/>
      <w:r w:rsidRPr="00E801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y productos para soportes digitales como </w:t>
      </w:r>
      <w:r w:rsidRPr="00E801F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App Vídeo &amp; </w:t>
      </w:r>
      <w:proofErr w:type="spellStart"/>
      <w:r w:rsidRPr="00E801F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Display</w:t>
      </w:r>
      <w:proofErr w:type="spellEnd"/>
      <w:r w:rsidRPr="00E801F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una oferta exclusiva para clientes de Venta Anticipada en el período de mayor demanda; </w:t>
      </w:r>
      <w:r w:rsidRPr="00E801F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concursos</w:t>
      </w:r>
      <w:r w:rsidRPr="00E801FB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; </w:t>
      </w:r>
      <w:proofErr w:type="spellStart"/>
      <w:r w:rsidRPr="00E801F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Advergame</w:t>
      </w:r>
      <w:proofErr w:type="spellEnd"/>
      <w:r w:rsidRPr="00E801F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 formato para la </w:t>
      </w:r>
      <w:r w:rsidRPr="00E801FB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r w:rsidRPr="00E801F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garantiza la máxima integración de contenido y marca a través de juegos; y </w:t>
      </w:r>
      <w:r w:rsidRPr="00E801F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Careta de Patrocinio</w:t>
      </w:r>
      <w:r w:rsidRPr="00E801F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</w:t>
      </w:r>
      <w:proofErr w:type="spellStart"/>
      <w:r w:rsidRPr="00E801FB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site</w:t>
      </w:r>
      <w:proofErr w:type="spellEnd"/>
      <w:r w:rsidRPr="00E801F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Boing.es y de la emisión de la señal en directo del canal en </w:t>
      </w:r>
      <w:proofErr w:type="spellStart"/>
      <w:r w:rsidRPr="00E801F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Mitele</w:t>
      </w:r>
      <w:proofErr w:type="spellEnd"/>
      <w:r w:rsidRPr="00E801F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291E83">
        <w:rPr>
          <w:rFonts w:ascii="Arial" w:hAnsi="Arial" w:cs="Arial"/>
          <w:sz w:val="24"/>
          <w:szCs w:val="24"/>
        </w:rPr>
        <w:t xml:space="preserve"> </w:t>
      </w:r>
    </w:p>
    <w:p w14:paraId="25631DC6" w14:textId="77777777" w:rsidR="004C11E9" w:rsidRDefault="004C11E9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81EDBB" w14:textId="77777777" w:rsidR="008A0E7F" w:rsidRPr="00DC7ED4" w:rsidRDefault="008A0E7F" w:rsidP="008A0E7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opción preferida de los niños</w:t>
      </w:r>
    </w:p>
    <w:p w14:paraId="0E89FDB9" w14:textId="77777777" w:rsidR="008A0E7F" w:rsidRDefault="008A0E7F" w:rsidP="008A0E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D74D11" w14:textId="2F274257" w:rsidR="008A0E7F" w:rsidRDefault="008A0E7F" w:rsidP="008A0E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C7E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canal infantil líder de las televisiones comerciales sigue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siendo la</w:t>
      </w:r>
      <w:r w:rsidRPr="00DC7E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opción favorita para los niños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A942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10,9% de share en el </w:t>
      </w:r>
      <w:proofErr w:type="gramStart"/>
      <w:r w:rsidRPr="00A942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A942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4-12 años en noviembre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3,6 puntos más que Disney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Channel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ha registrado un 7,3%.</w:t>
      </w:r>
    </w:p>
    <w:p w14:paraId="04B45B1F" w14:textId="77777777" w:rsidR="008A0E7F" w:rsidRDefault="008A0E7F" w:rsidP="008A0E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1874DA" w14:textId="434798B3" w:rsidR="008A0E7F" w:rsidRDefault="008A0E7F" w:rsidP="008A0E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sólido liderazgo sustentado en su oferta de programación, que en diciembre incorpora </w:t>
      </w:r>
      <w:r w:rsidRPr="00D6078A">
        <w:rPr>
          <w:rFonts w:ascii="Arial" w:eastAsia="Times New Roman" w:hAnsi="Arial" w:cs="Arial"/>
          <w:b/>
          <w:sz w:val="24"/>
          <w:szCs w:val="24"/>
          <w:lang w:eastAsia="es-ES"/>
        </w:rPr>
        <w:t>nuevos episodios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6078A">
        <w:rPr>
          <w:rFonts w:ascii="Arial" w:eastAsia="Times New Roman" w:hAnsi="Arial" w:cs="Arial"/>
          <w:b/>
          <w:sz w:val="24"/>
          <w:szCs w:val="24"/>
          <w:lang w:eastAsia="es-ES"/>
        </w:rPr>
        <w:t>‘El mundo de Craig’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estreno del especial </w:t>
      </w:r>
      <w:r w:rsidRPr="00D60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</w:t>
      </w:r>
      <w:proofErr w:type="spellStart"/>
      <w:r w:rsidRPr="00D6078A">
        <w:rPr>
          <w:rFonts w:ascii="Arial" w:eastAsia="Times New Roman" w:hAnsi="Arial" w:cs="Arial"/>
          <w:b/>
          <w:sz w:val="24"/>
          <w:szCs w:val="24"/>
          <w:lang w:eastAsia="es-ES"/>
        </w:rPr>
        <w:t>Thunderman</w:t>
      </w:r>
      <w:proofErr w:type="spellEnd"/>
      <w:r w:rsidRPr="00D60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descubierto’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B1B7D">
        <w:rPr>
          <w:rFonts w:ascii="Arial" w:eastAsia="Times New Roman" w:hAnsi="Arial" w:cs="Arial"/>
          <w:bCs/>
          <w:sz w:val="24"/>
          <w:szCs w:val="24"/>
          <w:lang w:eastAsia="es-ES"/>
        </w:rPr>
        <w:t>entregas</w:t>
      </w:r>
      <w:r w:rsidRPr="006D5A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especiales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D5A4C">
        <w:rPr>
          <w:rFonts w:ascii="Arial" w:eastAsia="Times New Roman" w:hAnsi="Arial" w:cs="Arial"/>
          <w:b/>
          <w:sz w:val="24"/>
          <w:szCs w:val="24"/>
          <w:lang w:eastAsia="es-ES"/>
        </w:rPr>
        <w:t>de Navidad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B1B7D">
        <w:rPr>
          <w:rFonts w:ascii="Arial" w:eastAsia="Times New Roman" w:hAnsi="Arial" w:cs="Arial"/>
          <w:bCs/>
          <w:sz w:val="24"/>
          <w:szCs w:val="24"/>
          <w:lang w:eastAsia="es-ES"/>
        </w:rPr>
        <w:t>y una selección de los</w:t>
      </w:r>
      <w:r w:rsidRPr="006D5A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episodios más destacados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series como ‘Doraemon’, ‘Pokémon’ ‘El asombroso mundo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Gumball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’, ‘Somos osos’,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Teen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Titans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Go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!’, ‘Los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Thunderman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‘Nick, Ricky,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Dicky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Dawn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’, ‘Manzana y Cebolleta’ y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Looney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Tunes’; y diferentes </w:t>
      </w:r>
      <w:r w:rsidRPr="006D5A4C">
        <w:rPr>
          <w:rFonts w:ascii="Arial" w:eastAsia="Times New Roman" w:hAnsi="Arial" w:cs="Arial"/>
          <w:b/>
          <w:sz w:val="24"/>
          <w:szCs w:val="24"/>
          <w:lang w:eastAsia="es-ES"/>
        </w:rPr>
        <w:t>títulos cinematográficos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CB9EC23" w14:textId="77777777" w:rsidR="008A0E7F" w:rsidRPr="00CF05E1" w:rsidRDefault="008A0E7F" w:rsidP="008A0E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92F936" w14:textId="359B248D" w:rsidR="00E801FB" w:rsidRPr="00DC7ED4" w:rsidRDefault="006A56B1" w:rsidP="008749E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</w:t>
      </w:r>
      <w:proofErr w:type="gramStart"/>
      <w:r w:rsidRPr="00D16F1F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app</w:t>
      </w:r>
      <w:proofErr w:type="gram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Boing sigue creciendo: más de 1,7M de descargas</w:t>
      </w:r>
    </w:p>
    <w:p w14:paraId="066F6736" w14:textId="77777777" w:rsidR="00E801FB" w:rsidRDefault="00E801FB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EEE74B" w14:textId="59AC873A" w:rsidR="00291E83" w:rsidRPr="002A28A9" w:rsidRDefault="006A56B1" w:rsidP="00874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su lanzamiento en la Navidad de 2018, la </w:t>
      </w:r>
      <w:proofErr w:type="gramStart"/>
      <w:r w:rsidRPr="00A942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Boing </w:t>
      </w:r>
      <w:r w:rsidR="002A28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ha dejado de sumar nuevos usuarios y acumula ya más de </w:t>
      </w:r>
      <w:r w:rsidR="002A28A9" w:rsidRPr="002A28A9">
        <w:rPr>
          <w:rFonts w:ascii="Arial" w:eastAsia="Times New Roman" w:hAnsi="Arial" w:cs="Arial"/>
          <w:b/>
          <w:sz w:val="24"/>
          <w:szCs w:val="24"/>
          <w:lang w:eastAsia="es-ES"/>
        </w:rPr>
        <w:t>1,7 millones de descargas</w:t>
      </w:r>
      <w:r w:rsidR="002A28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promedio </w:t>
      </w:r>
      <w:r w:rsidR="002A28A9"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622B3B"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>noviembre</w:t>
      </w:r>
      <w:r w:rsidR="002A28A9"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2A28A9" w:rsidRPr="00F425F3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622B3B" w:rsidRPr="00F425F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A28A9" w:rsidRPr="00F425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reproducciones de vídeo</w:t>
      </w:r>
      <w:r w:rsidR="002A28A9" w:rsidRPr="00F425F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A28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91E83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Boing es la </w:t>
      </w:r>
      <w:r w:rsidR="00291E83" w:rsidRPr="002A28A9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única aplicación de televisión infantil en el mercado con posibilidades publicitarias</w:t>
      </w:r>
      <w:r w:rsidR="002A28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una </w:t>
      </w:r>
      <w:r w:rsidR="002A28A9" w:rsidRPr="004B1B7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herramienta complementaria al consumo de televisión</w:t>
      </w:r>
      <w:r w:rsidR="002A28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p</w:t>
      </w:r>
      <w:r w:rsidR="00291E83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ermite personalizar el diseño y sus secciones, insertar un spot único antes de la visualización de cada capítulo y contenidos editoriales nativos, entre otras opciones.</w:t>
      </w:r>
      <w:r w:rsidR="002A28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sectPr w:rsidR="00291E83" w:rsidRPr="002A28A9" w:rsidSect="00907A64">
      <w:footerReference w:type="default" r:id="rId10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FE7B" w14:textId="77777777" w:rsidR="002166B4" w:rsidRDefault="002166B4" w:rsidP="00B23904">
      <w:pPr>
        <w:spacing w:after="0" w:line="240" w:lineRule="auto"/>
      </w:pPr>
      <w:r>
        <w:separator/>
      </w:r>
    </w:p>
  </w:endnote>
  <w:endnote w:type="continuationSeparator" w:id="0">
    <w:p w14:paraId="7756CE32" w14:textId="77777777" w:rsidR="002166B4" w:rsidRDefault="002166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676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000FA65" wp14:editId="4092A63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4FF8EA8" wp14:editId="6B10A25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" name="Imagen 1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117BB33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BB3C" w14:textId="77777777" w:rsidR="002166B4" w:rsidRDefault="002166B4" w:rsidP="00B23904">
      <w:pPr>
        <w:spacing w:after="0" w:line="240" w:lineRule="auto"/>
      </w:pPr>
      <w:r>
        <w:separator/>
      </w:r>
    </w:p>
  </w:footnote>
  <w:footnote w:type="continuationSeparator" w:id="0">
    <w:p w14:paraId="28FEFB1D" w14:textId="77777777" w:rsidR="002166B4" w:rsidRDefault="002166B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02CD"/>
    <w:rsid w:val="000F6359"/>
    <w:rsid w:val="0010016D"/>
    <w:rsid w:val="00102AFC"/>
    <w:rsid w:val="00102F0B"/>
    <w:rsid w:val="00104D1A"/>
    <w:rsid w:val="0010628F"/>
    <w:rsid w:val="0011131C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23DC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166B4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4D79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1E83"/>
    <w:rsid w:val="002921C5"/>
    <w:rsid w:val="002A28A9"/>
    <w:rsid w:val="002A63C6"/>
    <w:rsid w:val="002B10C9"/>
    <w:rsid w:val="002B3425"/>
    <w:rsid w:val="002B3D92"/>
    <w:rsid w:val="002B6ADF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0E55"/>
    <w:rsid w:val="00361B75"/>
    <w:rsid w:val="003670CD"/>
    <w:rsid w:val="0037110C"/>
    <w:rsid w:val="00375359"/>
    <w:rsid w:val="003753E8"/>
    <w:rsid w:val="00381569"/>
    <w:rsid w:val="00383C61"/>
    <w:rsid w:val="00387354"/>
    <w:rsid w:val="0038753B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6FD0"/>
    <w:rsid w:val="003E7852"/>
    <w:rsid w:val="003E7BA6"/>
    <w:rsid w:val="003F161B"/>
    <w:rsid w:val="00400E45"/>
    <w:rsid w:val="004016AB"/>
    <w:rsid w:val="00401B70"/>
    <w:rsid w:val="004035E3"/>
    <w:rsid w:val="0040564D"/>
    <w:rsid w:val="004063D9"/>
    <w:rsid w:val="00410325"/>
    <w:rsid w:val="0041125E"/>
    <w:rsid w:val="004127F6"/>
    <w:rsid w:val="00421360"/>
    <w:rsid w:val="004218E6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1217"/>
    <w:rsid w:val="004B1B7D"/>
    <w:rsid w:val="004B201E"/>
    <w:rsid w:val="004B206F"/>
    <w:rsid w:val="004B34F2"/>
    <w:rsid w:val="004B3762"/>
    <w:rsid w:val="004B68C6"/>
    <w:rsid w:val="004B70D7"/>
    <w:rsid w:val="004C1043"/>
    <w:rsid w:val="004C11E9"/>
    <w:rsid w:val="004C1E3E"/>
    <w:rsid w:val="004C397B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36DD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44C5"/>
    <w:rsid w:val="005E7A2F"/>
    <w:rsid w:val="005F12F6"/>
    <w:rsid w:val="005F38DE"/>
    <w:rsid w:val="005F4350"/>
    <w:rsid w:val="005F44B4"/>
    <w:rsid w:val="005F47E9"/>
    <w:rsid w:val="00601C71"/>
    <w:rsid w:val="0060389F"/>
    <w:rsid w:val="00610730"/>
    <w:rsid w:val="00611C7E"/>
    <w:rsid w:val="00612CBD"/>
    <w:rsid w:val="00613E91"/>
    <w:rsid w:val="006149A5"/>
    <w:rsid w:val="00615104"/>
    <w:rsid w:val="00616157"/>
    <w:rsid w:val="00622499"/>
    <w:rsid w:val="00622B3B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4D4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56B1"/>
    <w:rsid w:val="006A7620"/>
    <w:rsid w:val="006A782A"/>
    <w:rsid w:val="006B3B88"/>
    <w:rsid w:val="006B4FF6"/>
    <w:rsid w:val="006B622B"/>
    <w:rsid w:val="006B6BBD"/>
    <w:rsid w:val="006C17DD"/>
    <w:rsid w:val="006C1A1A"/>
    <w:rsid w:val="006C6E40"/>
    <w:rsid w:val="006D5A4C"/>
    <w:rsid w:val="006D5CE1"/>
    <w:rsid w:val="006E2F0B"/>
    <w:rsid w:val="006E3B24"/>
    <w:rsid w:val="006E4DCC"/>
    <w:rsid w:val="006E54A2"/>
    <w:rsid w:val="006E707B"/>
    <w:rsid w:val="006F3E46"/>
    <w:rsid w:val="006F406F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5B92"/>
    <w:rsid w:val="007F7AED"/>
    <w:rsid w:val="00812C2B"/>
    <w:rsid w:val="00813DDC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49EF"/>
    <w:rsid w:val="00875656"/>
    <w:rsid w:val="00880851"/>
    <w:rsid w:val="0088119B"/>
    <w:rsid w:val="00882E78"/>
    <w:rsid w:val="0089094A"/>
    <w:rsid w:val="0089220B"/>
    <w:rsid w:val="00893593"/>
    <w:rsid w:val="00894BD0"/>
    <w:rsid w:val="008A0E7F"/>
    <w:rsid w:val="008A226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042A1"/>
    <w:rsid w:val="00905E19"/>
    <w:rsid w:val="00907A64"/>
    <w:rsid w:val="00913C06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05A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19F3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220"/>
    <w:rsid w:val="00A94BC7"/>
    <w:rsid w:val="00A97A39"/>
    <w:rsid w:val="00AA68FB"/>
    <w:rsid w:val="00AB0BC7"/>
    <w:rsid w:val="00AB5588"/>
    <w:rsid w:val="00AC4F38"/>
    <w:rsid w:val="00AC5A05"/>
    <w:rsid w:val="00AC6870"/>
    <w:rsid w:val="00AD498E"/>
    <w:rsid w:val="00AD4D46"/>
    <w:rsid w:val="00AD5CE3"/>
    <w:rsid w:val="00AD7202"/>
    <w:rsid w:val="00AE009F"/>
    <w:rsid w:val="00AE1015"/>
    <w:rsid w:val="00AE56D6"/>
    <w:rsid w:val="00AE77B8"/>
    <w:rsid w:val="00AF13C2"/>
    <w:rsid w:val="00AF4996"/>
    <w:rsid w:val="00AF69F9"/>
    <w:rsid w:val="00AF763A"/>
    <w:rsid w:val="00B00DB8"/>
    <w:rsid w:val="00B023B3"/>
    <w:rsid w:val="00B03786"/>
    <w:rsid w:val="00B03918"/>
    <w:rsid w:val="00B10490"/>
    <w:rsid w:val="00B108BD"/>
    <w:rsid w:val="00B17278"/>
    <w:rsid w:val="00B2132F"/>
    <w:rsid w:val="00B23904"/>
    <w:rsid w:val="00B24636"/>
    <w:rsid w:val="00B24FFF"/>
    <w:rsid w:val="00B279BB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9B9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707"/>
    <w:rsid w:val="00BC647E"/>
    <w:rsid w:val="00BD413F"/>
    <w:rsid w:val="00BD6096"/>
    <w:rsid w:val="00BD613C"/>
    <w:rsid w:val="00BE1C32"/>
    <w:rsid w:val="00BE342B"/>
    <w:rsid w:val="00BE71F9"/>
    <w:rsid w:val="00BF0FE5"/>
    <w:rsid w:val="00BF261C"/>
    <w:rsid w:val="00BF3D5F"/>
    <w:rsid w:val="00C028BF"/>
    <w:rsid w:val="00C02B7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62A7E"/>
    <w:rsid w:val="00C7188C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14CF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0833"/>
    <w:rsid w:val="00CF15AD"/>
    <w:rsid w:val="00CF21CF"/>
    <w:rsid w:val="00CF2512"/>
    <w:rsid w:val="00CF4CF9"/>
    <w:rsid w:val="00D0783B"/>
    <w:rsid w:val="00D13130"/>
    <w:rsid w:val="00D167CB"/>
    <w:rsid w:val="00D16F1F"/>
    <w:rsid w:val="00D2013F"/>
    <w:rsid w:val="00D26D85"/>
    <w:rsid w:val="00D36CB7"/>
    <w:rsid w:val="00D41EA6"/>
    <w:rsid w:val="00D42CF3"/>
    <w:rsid w:val="00D458F8"/>
    <w:rsid w:val="00D46C78"/>
    <w:rsid w:val="00D51248"/>
    <w:rsid w:val="00D515BE"/>
    <w:rsid w:val="00D52EBF"/>
    <w:rsid w:val="00D53497"/>
    <w:rsid w:val="00D54E22"/>
    <w:rsid w:val="00D56088"/>
    <w:rsid w:val="00D57E63"/>
    <w:rsid w:val="00D6078A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C7ED4"/>
    <w:rsid w:val="00DD030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C92"/>
    <w:rsid w:val="00E30532"/>
    <w:rsid w:val="00E331FA"/>
    <w:rsid w:val="00E41CF9"/>
    <w:rsid w:val="00E42ADC"/>
    <w:rsid w:val="00E46F7B"/>
    <w:rsid w:val="00E55319"/>
    <w:rsid w:val="00E6352E"/>
    <w:rsid w:val="00E672A8"/>
    <w:rsid w:val="00E70D2E"/>
    <w:rsid w:val="00E718F3"/>
    <w:rsid w:val="00E773FC"/>
    <w:rsid w:val="00E77E2B"/>
    <w:rsid w:val="00E801F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61BF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16BD"/>
    <w:rsid w:val="00F04253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25F3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904FE"/>
    <w:rsid w:val="00F9177A"/>
    <w:rsid w:val="00F91BEB"/>
    <w:rsid w:val="00F941DB"/>
    <w:rsid w:val="00F9442E"/>
    <w:rsid w:val="00F978E7"/>
    <w:rsid w:val="00FA0F4C"/>
    <w:rsid w:val="00FA21C8"/>
    <w:rsid w:val="00FA2C32"/>
    <w:rsid w:val="00FA515E"/>
    <w:rsid w:val="00FA54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258D1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05E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5E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E1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8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ing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7B92-1FB4-2145-9592-9B643FE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2020-03-09T09:59:00Z</cp:lastPrinted>
  <dcterms:created xsi:type="dcterms:W3CDTF">2020-12-11T08:52:00Z</dcterms:created>
  <dcterms:modified xsi:type="dcterms:W3CDTF">2020-12-11T08:52:00Z</dcterms:modified>
</cp:coreProperties>
</file>