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3985250</wp:posOffset>
            </wp:positionH>
            <wp:positionV relativeFrom="margin">
              <wp:posOffset>-203158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543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62F7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62F7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22</w:t>
      </w:r>
      <w:r w:rsidR="009E54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4767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481F6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6D4B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líder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del </w:t>
      </w:r>
      <w:r w:rsidRPr="00481F63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récord de </w:t>
      </w:r>
      <w:r w:rsidR="003C74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‘Horizonte. Informe </w:t>
      </w:r>
      <w:proofErr w:type="spellStart"/>
      <w:r w:rsidR="003C74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Covid</w:t>
      </w:r>
      <w:proofErr w:type="spellEnd"/>
      <w:r w:rsidR="003C74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3E0E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C74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programa más visto del </w:t>
      </w:r>
      <w:r w:rsidR="006D4B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jueves</w:t>
      </w:r>
      <w:r w:rsidR="003C74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481F6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2,9M de espectadores y un 18,2%</w:t>
      </w:r>
      <w:r w:rsidR="00620E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20EC9" w:rsidRPr="00620EC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="006D4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conducido por Iker Jiménez superó en su franja por 4,5 puntos a Antena 3, que marcó un 13,7% con ‘El Hormiguero 3.0’, seguido por </w:t>
      </w:r>
      <w:r w:rsidR="00C96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6D4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2,5M y un 15%</w:t>
      </w:r>
      <w:r w:rsidR="000637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C560A" w:rsidRDefault="006D4BD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‘Madres. Amor y Vida’, nuevamente lo más visto en su horario.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6D4BD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superó en </w:t>
      </w:r>
      <w:r w:rsidRPr="00620EC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620EC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620EC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Sexta, con ‘Volando Voy’ un jueves más por delante de su competidor en su horario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D4BD0" w:rsidRDefault="006D4BD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entrevista exclusiva concedida anoche por la viróloga china Li-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Meng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Yan a Iker Jiménez </w:t>
      </w:r>
      <w:r w:rsidR="00FA3362">
        <w:rPr>
          <w:rFonts w:ascii="Arial" w:eastAsia="Times New Roman" w:hAnsi="Arial" w:cs="Arial"/>
          <w:sz w:val="24"/>
          <w:szCs w:val="24"/>
          <w:lang w:eastAsia="es-ES"/>
        </w:rPr>
        <w:t xml:space="preserve">y su posterior análisis con expertos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llevó a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‘Horizonte. Informe </w:t>
      </w:r>
      <w:proofErr w:type="spellStart"/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>Covid</w:t>
      </w:r>
      <w:proofErr w:type="spellEnd"/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firmar su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tanto de </w:t>
      </w:r>
      <w:r w:rsidRPr="006D4B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 más de </w:t>
      </w:r>
      <w:r w:rsidR="00C968D0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2,9M de espectadores y un 18,2% de cuota de pantalla, cifras con las que se convirtió en el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>programa más visto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contribuyó al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liderazgo de Telecinco en el </w:t>
      </w:r>
      <w:r w:rsidRPr="006D4BD0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620EC9">
        <w:rPr>
          <w:rFonts w:ascii="Arial" w:eastAsia="Times New Roman" w:hAnsi="Arial" w:cs="Arial"/>
          <w:b/>
          <w:sz w:val="24"/>
          <w:szCs w:val="24"/>
          <w:lang w:eastAsia="es-ES"/>
        </w:rPr>
        <w:t>mejor dato en jueves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15,6%. </w:t>
      </w:r>
    </w:p>
    <w:p w:rsidR="006D4BD0" w:rsidRDefault="006D4BD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CF24FC" w:rsidRPr="006D4BD0" w:rsidRDefault="006D4BD0" w:rsidP="00CF24F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lideró su franja con 4,5 puntos sobre Antena 3, que promedió un 13,7%, y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>aventajó en términos absolutos por más de 400.000 espectadores y 3,2 puntos a ‘El Hormiguero 3.0’</w:t>
      </w:r>
      <w:r w:rsidR="00C968D0">
        <w:rPr>
          <w:rFonts w:ascii="Arial" w:eastAsia="Times New Roman" w:hAnsi="Arial" w:cs="Arial"/>
          <w:sz w:val="24"/>
          <w:szCs w:val="24"/>
          <w:lang w:eastAsia="es-ES"/>
        </w:rPr>
        <w:t>, seguido por casi 2,5M de espectadores y un 15%.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68D0">
        <w:rPr>
          <w:rFonts w:ascii="Arial" w:eastAsia="Times New Roman" w:hAnsi="Arial" w:cs="Arial"/>
          <w:sz w:val="24"/>
          <w:szCs w:val="24"/>
          <w:lang w:eastAsia="es-ES"/>
        </w:rPr>
        <w:t>El programa de Telecinco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reció hasta el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20,1% en el </w:t>
      </w:r>
      <w:r w:rsidRPr="006D4BD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426264">
        <w:rPr>
          <w:rFonts w:ascii="Arial" w:eastAsia="Times New Roman" w:hAnsi="Arial" w:cs="Arial"/>
          <w:sz w:val="24"/>
          <w:szCs w:val="24"/>
          <w:lang w:eastAsia="es-ES"/>
        </w:rPr>
        <w:t xml:space="preserve">, 5,1 puntos más que su competidor, que registró un 15%;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brilló especialmente entre los </w:t>
      </w:r>
      <w:r w:rsidRPr="006D4BD0">
        <w:rPr>
          <w:rFonts w:ascii="Arial" w:eastAsia="Times New Roman" w:hAnsi="Arial" w:cs="Arial"/>
          <w:b/>
          <w:sz w:val="24"/>
          <w:szCs w:val="24"/>
          <w:lang w:eastAsia="es-ES"/>
        </w:rPr>
        <w:t>jóvenes de 25 a 34 años, con un 23,4%</w:t>
      </w:r>
      <w:r w:rsidR="00426264">
        <w:rPr>
          <w:rFonts w:ascii="Arial" w:eastAsia="Times New Roman" w:hAnsi="Arial" w:cs="Arial"/>
          <w:sz w:val="24"/>
          <w:szCs w:val="24"/>
          <w:lang w:eastAsia="es-ES"/>
        </w:rPr>
        <w:t xml:space="preserve">, nueve puntos más que su rival, que marcó un 14,1%. Destacó su seguimiento en </w:t>
      </w:r>
      <w:r w:rsidR="00426264"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426264">
        <w:rPr>
          <w:rFonts w:ascii="Arial" w:eastAsia="Times New Roman" w:hAnsi="Arial" w:cs="Arial"/>
          <w:sz w:val="24"/>
          <w:szCs w:val="24"/>
          <w:lang w:eastAsia="es-ES"/>
        </w:rPr>
        <w:t xml:space="preserve">, con un 24,8%, </w:t>
      </w:r>
      <w:r w:rsidR="00426264"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426264">
        <w:rPr>
          <w:rFonts w:ascii="Arial" w:eastAsia="Times New Roman" w:hAnsi="Arial" w:cs="Arial"/>
          <w:sz w:val="24"/>
          <w:szCs w:val="24"/>
          <w:lang w:eastAsia="es-ES"/>
        </w:rPr>
        <w:t xml:space="preserve">, con un 24,7%, </w:t>
      </w:r>
      <w:r w:rsidR="00426264"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426264">
        <w:rPr>
          <w:rFonts w:ascii="Arial" w:eastAsia="Times New Roman" w:hAnsi="Arial" w:cs="Arial"/>
          <w:sz w:val="24"/>
          <w:szCs w:val="24"/>
          <w:lang w:eastAsia="es-ES"/>
        </w:rPr>
        <w:t xml:space="preserve">, con un 22,4%, y </w:t>
      </w:r>
      <w:r w:rsidR="00426264"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426264">
        <w:rPr>
          <w:rFonts w:ascii="Arial" w:eastAsia="Times New Roman" w:hAnsi="Arial" w:cs="Arial"/>
          <w:sz w:val="24"/>
          <w:szCs w:val="24"/>
          <w:lang w:eastAsia="es-ES"/>
        </w:rPr>
        <w:t>, con un 20,9%.</w:t>
      </w:r>
    </w:p>
    <w:p w:rsidR="00CF24FC" w:rsidRDefault="00CF24FC" w:rsidP="00CF24F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F24FC" w:rsidRPr="00CF24FC" w:rsidRDefault="00426264" w:rsidP="00CF24F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el nuevo episodio de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‘Madres. Amor y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lo más visto en su horario con un 11,7% y más de 1M de espectadores. Telecinco lideró el </w:t>
      </w:r>
      <w:r w:rsidRPr="0042626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6264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9,8%.</w:t>
      </w:r>
    </w:p>
    <w:p w:rsidR="00426264" w:rsidRDefault="00426264" w:rsidP="00CF24F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6264" w:rsidRDefault="00426264" w:rsidP="00CF24F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La cadena, un día más la preferida de los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toda la jornada con un 14,9% frente al 12,4% de su competidor, encabezó también el </w:t>
      </w:r>
      <w:proofErr w:type="spellStart"/>
      <w:r w:rsidRPr="00426264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42626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14,7% frente al 11,2% de su rival; la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16,1% frente al 10,5%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Antena 3; la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14,2% frente al 13,9% de su competidor; y la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16,6% frente al 10,6% de su rival.</w:t>
      </w:r>
    </w:p>
    <w:p w:rsidR="00426264" w:rsidRDefault="00426264" w:rsidP="00CF24F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6264" w:rsidRPr="0010768F" w:rsidRDefault="00426264" w:rsidP="0042626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mañana, destacó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 como líder de su franja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17,</w:t>
      </w:r>
      <w:r w:rsidR="00F5333F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702.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000 espectadores frente al 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9,9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>% y 40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>.000 promediado por ‘Espejo público’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 xml:space="preserve">. El espacio conducido por Ana Rosa Quintana se disparó hasta el </w:t>
      </w:r>
      <w:r w:rsidR="00F5333F">
        <w:rPr>
          <w:rFonts w:ascii="Arial" w:eastAsia="Times New Roman" w:hAnsi="Arial" w:cs="Arial"/>
          <w:b/>
          <w:sz w:val="24"/>
          <w:szCs w:val="24"/>
          <w:lang w:eastAsia="es-ES"/>
        </w:rPr>
        <w:t>20,7</w:t>
      </w:r>
      <w:r w:rsidR="00620EC9" w:rsidRPr="00620E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el </w:t>
      </w:r>
      <w:r w:rsidR="00620EC9" w:rsidRPr="00620EC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620EC9" w:rsidRPr="00620E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 xml:space="preserve">lo más visto en su banda horaria fue tanto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>, con un 13,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 1,7M, 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Pr="00426264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>, con un 16,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20EC9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Pr="00426264">
        <w:rPr>
          <w:rFonts w:ascii="Arial" w:eastAsia="Times New Roman" w:hAnsi="Arial" w:cs="Arial"/>
          <w:sz w:val="24"/>
          <w:szCs w:val="24"/>
          <w:lang w:eastAsia="es-ES"/>
        </w:rPr>
        <w:t xml:space="preserve"> 1,8M.</w:t>
      </w:r>
    </w:p>
    <w:p w:rsidR="00AD10C7" w:rsidRPr="00AD10C7" w:rsidRDefault="00AD10C7" w:rsidP="00AD10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7816" w:rsidRPr="0010336C" w:rsidRDefault="00620EC9" w:rsidP="0073781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Cuatro supera a La Sexta en </w:t>
      </w:r>
      <w:r w:rsidRPr="00620EC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r w:rsidRPr="00620EC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late </w:t>
      </w:r>
      <w:proofErr w:type="spellStart"/>
      <w:r w:rsidRPr="00620EC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 ‘Volando Voy’</w:t>
      </w:r>
    </w:p>
    <w:p w:rsidR="00AD10C7" w:rsidRPr="00AD10C7" w:rsidRDefault="00AD10C7" w:rsidP="00AD10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620EC9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6% en </w:t>
      </w:r>
      <w:r w:rsidRPr="00620EC9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8,2% en </w:t>
      </w:r>
      <w:r w:rsidRPr="00620EC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620EC9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Cuatro se impuso a su competidor, que marcó un 5,7% y un 3,6%, respectivamente. Destacó la nueva entrega de </w:t>
      </w:r>
      <w:r w:rsidRPr="00620EC9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visitó La Alpujarra en Granada, seguida por </w:t>
      </w:r>
      <w:r w:rsidRPr="00620EC9">
        <w:rPr>
          <w:rFonts w:ascii="Arial" w:eastAsia="Times New Roman" w:hAnsi="Arial" w:cs="Arial"/>
          <w:b/>
          <w:sz w:val="24"/>
          <w:szCs w:val="24"/>
          <w:lang w:eastAsia="es-ES"/>
        </w:rPr>
        <w:t>907.000 espectadores y un 7,7%, su segundo mejor dato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temporada. El espacio batió en su franja a La Sexta, que firmó un 3,7%. A continuación, la reposición del programa registró un 8,1% y 390.000 espectadores, aventajando por 4,5 puntos a su competidor, que anotó un 3,6%.</w:t>
      </w:r>
    </w:p>
    <w:sectPr w:rsidR="00A52F3D" w:rsidRPr="00F76D13" w:rsidSect="0096752B">
      <w:footerReference w:type="default" r:id="rId8"/>
      <w:pgSz w:w="11906" w:h="16838"/>
      <w:pgMar w:top="1417" w:right="1558" w:bottom="15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7D" w:rsidRDefault="0027517D" w:rsidP="00B23904">
      <w:pPr>
        <w:spacing w:after="0" w:line="240" w:lineRule="auto"/>
      </w:pPr>
      <w:r>
        <w:separator/>
      </w:r>
    </w:p>
  </w:endnote>
  <w:endnote w:type="continuationSeparator" w:id="0">
    <w:p w:rsidR="0027517D" w:rsidRDefault="0027517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7D" w:rsidRDefault="0027517D" w:rsidP="00B23904">
      <w:pPr>
        <w:spacing w:after="0" w:line="240" w:lineRule="auto"/>
      </w:pPr>
      <w:r>
        <w:separator/>
      </w:r>
    </w:p>
  </w:footnote>
  <w:footnote w:type="continuationSeparator" w:id="0">
    <w:p w:rsidR="0027517D" w:rsidRDefault="0027517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3DEF"/>
    <w:rsid w:val="00324271"/>
    <w:rsid w:val="0032471C"/>
    <w:rsid w:val="0032560C"/>
    <w:rsid w:val="00326EC3"/>
    <w:rsid w:val="003273CC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68D0"/>
    <w:rsid w:val="00C97CC9"/>
    <w:rsid w:val="00CA43C0"/>
    <w:rsid w:val="00CA55B7"/>
    <w:rsid w:val="00CA5E59"/>
    <w:rsid w:val="00CA628E"/>
    <w:rsid w:val="00CB4E3C"/>
    <w:rsid w:val="00CB578A"/>
    <w:rsid w:val="00CB6A94"/>
    <w:rsid w:val="00CB71DF"/>
    <w:rsid w:val="00CC052A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333F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336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9EBB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umpedfont15">
    <w:name w:val="bumpedfont15"/>
    <w:basedOn w:val="Fuentedeprrafopredeter"/>
    <w:rsid w:val="00FA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EA33-13CA-4399-BCAE-45961E7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</cp:revision>
  <cp:lastPrinted>2020-03-09T09:59:00Z</cp:lastPrinted>
  <dcterms:created xsi:type="dcterms:W3CDTF">2020-10-23T08:12:00Z</dcterms:created>
  <dcterms:modified xsi:type="dcterms:W3CDTF">2020-10-23T09:11:00Z</dcterms:modified>
</cp:coreProperties>
</file>