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3928918</wp:posOffset>
            </wp:positionH>
            <wp:positionV relativeFrom="margin">
              <wp:posOffset>225021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1846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0A22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alcanza su gran final </w:t>
      </w:r>
      <w:r w:rsidR="00D241F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como líder de la noche de los jueves y los domingos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D241F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 w:rsidR="00C05E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</w:t>
      </w:r>
      <w:r w:rsid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EE0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Jorge Javier Vázquez al frente, </w:t>
      </w:r>
      <w:r w:rsidR="006B5B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emite el desenlace del concurso, que proclamará ganadora a una de las parejas residentes tras resolverse el último asalto de la edición</w:t>
      </w:r>
      <w:r w:rsidR="00215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audiencia, con sus votos, tendrá la última palabra.</w:t>
      </w:r>
    </w:p>
    <w:p w:rsidR="00D241F0" w:rsidRDefault="00D241F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241F0" w:rsidRPr="000A43A1" w:rsidRDefault="00D241F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concurso h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promediado un 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21,4</w:t>
      </w:r>
      <w:r w:rsidR="000A43A1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A43A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más de </w:t>
      </w:r>
      <w:r w:rsidR="000A43A1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2M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los jueves, con una ventaja de más de 1</w:t>
      </w:r>
      <w:r w:rsidR="00834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sobre Antena 3; y un 15,9% y más de 1,7M</w:t>
      </w:r>
      <w:r w:rsidR="00EE3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domingos, superando por casi 6 puntos a su competidor.</w:t>
      </w:r>
    </w:p>
    <w:p w:rsidR="00E33256" w:rsidRPr="00E33256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A43A1" w:rsidRDefault="000A43A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una intensa convivencia, divertidas pruebas y juegos y cerca de una decena de intentos de asalto entre sus participantes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han variado la configuración inicial entre 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>las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7F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residentes y los 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dúos </w:t>
      </w:r>
      <w:r w:rsidR="00B77F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asaltantes, </w:t>
      </w:r>
      <w:r w:rsidRP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Casa Fuerte’ alcanza </w:t>
      </w:r>
      <w:r w:rsid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</w:t>
      </w:r>
      <w:r w:rsidRP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domingo </w:t>
      </w:r>
      <w:r w:rsidR="00AA79AF" w:rsidRP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 (22:00 horas) </w:t>
      </w:r>
      <w:r w:rsidRP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desenlace</w:t>
      </w:r>
      <w:r w:rsidRPr="00F32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final </w:t>
      </w:r>
      <w:r w:rsidR="00D11344" w:rsidRPr="00F32865">
        <w:rPr>
          <w:rFonts w:ascii="Arial" w:eastAsia="Times New Roman" w:hAnsi="Arial" w:cs="Arial"/>
          <w:bCs/>
          <w:sz w:val="24"/>
          <w:szCs w:val="24"/>
          <w:lang w:eastAsia="es-ES"/>
        </w:rPr>
        <w:t>en la que</w:t>
      </w:r>
      <w:r w:rsidRPr="00F32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1344" w:rsidRP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1235EB" w:rsidRPr="00F328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 ganadora</w:t>
      </w:r>
      <w:r w:rsidRPr="00F32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logrará el premio acumulado hasta ese momento en su caja fuerte.</w:t>
      </w:r>
    </w:p>
    <w:p w:rsidR="000A43A1" w:rsidRDefault="000A43A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A79AF" w:rsidRDefault="000A43A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AA79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colaboración de </w:t>
      </w:r>
      <w:r w:rsidR="00AA79AF" w:rsidRPr="00AA79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última gala del concurso producido por Mediaset España en colaboración con Bulldog TV arrancará con la </w:t>
      </w:r>
      <w:r w:rsidR="00AA79AF" w:rsidRPr="00AA79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resolución del último asalto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>, en el que la pareja</w:t>
      </w:r>
      <w:r w:rsidR="00A016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Maite- Cristian 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>tratará de ocupar la habitación del dúo residente</w:t>
      </w:r>
      <w:r w:rsidR="00A016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Yola-Leticia y </w:t>
      </w:r>
      <w:r w:rsidR="00B77FBB">
        <w:rPr>
          <w:rFonts w:ascii="Arial" w:eastAsia="Times New Roman" w:hAnsi="Arial" w:cs="Arial"/>
          <w:bCs/>
          <w:sz w:val="24"/>
          <w:szCs w:val="24"/>
          <w:lang w:eastAsia="es-ES"/>
        </w:rPr>
        <w:t>apropiarse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7FBB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AA79AF">
        <w:rPr>
          <w:rFonts w:ascii="Arial" w:eastAsia="Times New Roman" w:hAnsi="Arial" w:cs="Arial"/>
          <w:bCs/>
          <w:sz w:val="24"/>
          <w:szCs w:val="24"/>
          <w:lang w:eastAsia="es-ES"/>
        </w:rPr>
        <w:t>el botín acumulado en su caja fuerte.</w:t>
      </w:r>
      <w:r w:rsidR="009D65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9D6599" w:rsidRPr="00E749D6">
        <w:rPr>
          <w:rFonts w:ascii="Arial" w:eastAsia="Times New Roman" w:hAnsi="Arial" w:cs="Arial"/>
          <w:bCs/>
          <w:sz w:val="24"/>
          <w:szCs w:val="24"/>
          <w:lang w:eastAsia="es-ES"/>
        </w:rPr>
        <w:t>a audiencia decidirá con sus votos qué pareja seguirá en el concurso como residente y con opción a ganar el concurso.</w:t>
      </w:r>
    </w:p>
    <w:p w:rsidR="00AA79AF" w:rsidRDefault="00AA79AF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43A1" w:rsidRPr="000A43A1" w:rsidRDefault="00AA79AF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expulsión anoche de dos </w:t>
      </w:r>
      <w:r w:rsidR="003039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dúos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asaltantes formad</w:t>
      </w:r>
      <w:r w:rsidR="003039AA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por</w:t>
      </w:r>
      <w:r w:rsidR="005A07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Macarena-Labrador y María Jesús-Juani</w:t>
      </w:r>
      <w:r w:rsidR="009D65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vez resuelto el último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039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solo las parejas de residentes</w:t>
      </w:r>
      <w:r w:rsidRPr="003039AA">
        <w:rPr>
          <w:rFonts w:ascii="Arial" w:eastAsia="Times New Roman" w:hAnsi="Arial" w:cs="Arial"/>
          <w:bCs/>
          <w:sz w:val="24"/>
          <w:szCs w:val="24"/>
          <w:lang w:eastAsia="es-ES"/>
        </w:rPr>
        <w:t>, es decir, las que ocupan un dormitorio con su caja fuerte</w:t>
      </w:r>
      <w:r w:rsidR="00B77F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incluida</w:t>
      </w:r>
      <w:r w:rsidRPr="003039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3039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optarán al triunfo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E51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</w:t>
      </w:r>
      <w:r w:rsidR="000E51DF" w:rsidRPr="000E51DF">
        <w:rPr>
          <w:rFonts w:ascii="Arial" w:eastAsia="Times New Roman" w:hAnsi="Arial" w:cs="Arial"/>
          <w:b/>
          <w:sz w:val="24"/>
          <w:szCs w:val="24"/>
          <w:lang w:eastAsia="es-ES"/>
        </w:rPr>
        <w:t>celebración de una junta de residentes con las 4 parejas finalistas</w:t>
      </w:r>
      <w:r w:rsidR="000E51DF">
        <w:rPr>
          <w:rFonts w:ascii="Arial" w:eastAsia="Times New Roman" w:hAnsi="Arial" w:cs="Arial"/>
          <w:bCs/>
          <w:sz w:val="24"/>
          <w:szCs w:val="24"/>
          <w:lang w:eastAsia="es-ES"/>
        </w:rPr>
        <w:t>, dos de ellas -las menos valoradas- se someterán a un asalto de televoto y la que menos respaldo obtenga resultará eliminada.</w:t>
      </w:r>
      <w:r w:rsidR="000E51DF" w:rsidRPr="00E749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</w:t>
      </w:r>
      <w:r w:rsidR="000E51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51DF" w:rsidRPr="00E749D6">
        <w:rPr>
          <w:rFonts w:ascii="Arial" w:eastAsia="Times New Roman" w:hAnsi="Arial" w:cs="Arial"/>
          <w:b/>
          <w:sz w:val="24"/>
          <w:szCs w:val="24"/>
          <w:lang w:eastAsia="es-ES"/>
        </w:rPr>
        <w:t>tres parejas restantes disputarán un espectacular juego</w:t>
      </w:r>
      <w:r w:rsidR="000E51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ganadora se convertirá en la primera finalista del concurso, mientras que las </w:t>
      </w:r>
      <w:r w:rsidR="000E51DF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otras dos se medirán en un nuevo asalto de televoto</w:t>
      </w:r>
      <w:r w:rsidR="009D65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dúo que obtenga un mayor respaldo en las votaciones se convertirá en segundo finalista, mientras que </w:t>
      </w:r>
      <w:r w:rsidR="00813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D6599">
        <w:rPr>
          <w:rFonts w:ascii="Arial" w:eastAsia="Times New Roman" w:hAnsi="Arial" w:cs="Arial"/>
          <w:bCs/>
          <w:sz w:val="24"/>
          <w:szCs w:val="24"/>
          <w:lang w:eastAsia="es-ES"/>
        </w:rPr>
        <w:t>menos votad</w:t>
      </w:r>
      <w:r w:rsidR="00813B20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9D65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quedará fuera de la competición</w:t>
      </w:r>
      <w:r w:rsidR="00E749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13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proclamación de l</w:t>
      </w:r>
      <w:r w:rsidR="000953DE">
        <w:rPr>
          <w:rFonts w:ascii="Arial" w:eastAsia="Times New Roman" w:hAnsi="Arial" w:cs="Arial"/>
          <w:bCs/>
          <w:sz w:val="24"/>
          <w:szCs w:val="24"/>
          <w:lang w:eastAsia="es-ES"/>
        </w:rPr>
        <w:t>os dos</w:t>
      </w:r>
      <w:r w:rsidR="004F7D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dúos</w:t>
      </w:r>
      <w:r w:rsidR="00813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finalistas, se abrirá un </w:t>
      </w:r>
      <w:r w:rsidR="00813B20" w:rsidRPr="00813B20">
        <w:rPr>
          <w:rFonts w:ascii="Arial" w:eastAsia="Times New Roman" w:hAnsi="Arial" w:cs="Arial"/>
          <w:b/>
          <w:sz w:val="24"/>
          <w:szCs w:val="24"/>
          <w:lang w:eastAsia="es-ES"/>
        </w:rPr>
        <w:t>último y decisivo televoto</w:t>
      </w:r>
      <w:r w:rsidR="00813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</w:t>
      </w:r>
      <w:r w:rsidR="00B71E11" w:rsidRPr="00813B2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813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>audiencia</w:t>
      </w:r>
      <w:r w:rsidR="000953DE"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elegirá con sus votos a la pareja</w:t>
      </w:r>
      <w:r w:rsidR="00813B20"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ganadora</w:t>
      </w:r>
      <w:r w:rsidR="009D6599"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71E11"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‘La </w:t>
      </w:r>
      <w:r w:rsidR="00FF738B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B71E11"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asa </w:t>
      </w:r>
      <w:r w:rsidR="00FF738B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bookmarkStart w:id="0" w:name="_GoBack"/>
      <w:bookmarkEnd w:id="0"/>
      <w:r w:rsidR="00B71E11" w:rsidRPr="008477AA">
        <w:rPr>
          <w:rFonts w:ascii="Arial" w:eastAsia="Times New Roman" w:hAnsi="Arial" w:cs="Arial"/>
          <w:b/>
          <w:sz w:val="24"/>
          <w:szCs w:val="24"/>
          <w:lang w:eastAsia="es-ES"/>
        </w:rPr>
        <w:t>uerte’.</w:t>
      </w:r>
      <w:r w:rsidR="00B71E11" w:rsidRPr="00B71E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0A43A1" w:rsidRDefault="000A43A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20369" w:rsidRPr="00B20369" w:rsidRDefault="00AA79AF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>Líder absoluto en las noches del jueves y el domingo</w:t>
      </w:r>
    </w:p>
    <w:p w:rsidR="00B20369" w:rsidRDefault="00B2036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04E98" w:rsidRDefault="00AA79AF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nuevo formato de telerrealidad creado por Mediaset</w:t>
      </w:r>
      <w:r w:rsidR="007B2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España</w:t>
      </w:r>
      <w:r w:rsidR="003039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llega a su desenlace como la </w:t>
      </w:r>
      <w:r w:rsidR="003039AA" w:rsidRPr="003039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más vista en sus dos días de emisión</w:t>
      </w:r>
      <w:r w:rsidR="003039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D04E98" w:rsidRDefault="00D04E98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A79AF" w:rsidRPr="007B2A0E" w:rsidRDefault="003039AA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BB0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las galas conducidas por Jorge Javier Vázquez con la colaboración de Nuria Marín, han alcanzado un promedio </w:t>
      </w:r>
      <w:r w:rsidRPr="00453C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21,4</w:t>
      </w:r>
      <w:r w:rsidR="007B2A0E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B2A0E" w:rsidRPr="00453C7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7B2A0E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2.046</w:t>
      </w:r>
      <w:r w:rsidR="007B2A0E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7B2A0E" w:rsidRPr="00834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7B2A0E" w:rsidRPr="00BB0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340EB" w:rsidRPr="00BB0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liderando en todas y cada un</w:t>
      </w:r>
      <w:r w:rsidR="00BB0D0B" w:rsidRPr="00BB0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8340EB" w:rsidRPr="00BB0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sus entregas</w:t>
      </w:r>
      <w:r w:rsidR="008340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superando en su franja de emisión por más de 12 puntos de ventaja </w:t>
      </w:r>
      <w:r w:rsidR="00B77FBB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340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3, que ha anotado un </w:t>
      </w:r>
      <w:r w:rsidR="008340EB" w:rsidRPr="00453C7A">
        <w:rPr>
          <w:rFonts w:ascii="Arial" w:eastAsia="Times New Roman" w:hAnsi="Arial" w:cs="Arial"/>
          <w:bCs/>
          <w:sz w:val="24"/>
          <w:szCs w:val="24"/>
          <w:lang w:eastAsia="es-ES"/>
        </w:rPr>
        <w:t>8,9%.</w:t>
      </w:r>
      <w:r w:rsidR="00BB0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ha sido la principal referencia para los espectadores de todos los targets sociodemográficos, con </w:t>
      </w:r>
      <w:r w:rsidR="00BB0D0B" w:rsidRPr="00D04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seguimiento entre los jóvenes</w:t>
      </w:r>
      <w:r w:rsidR="00BB0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13-24 años, con un </w:t>
      </w:r>
      <w:r w:rsidR="00453C7A">
        <w:rPr>
          <w:rFonts w:ascii="Arial" w:eastAsia="Times New Roman" w:hAnsi="Arial" w:cs="Arial"/>
          <w:bCs/>
          <w:sz w:val="24"/>
          <w:szCs w:val="24"/>
          <w:lang w:eastAsia="es-ES"/>
        </w:rPr>
        <w:t>26,2</w:t>
      </w:r>
      <w:r w:rsidR="00BB0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y de 25-34 años, con un </w:t>
      </w:r>
      <w:r w:rsidR="00453C7A">
        <w:rPr>
          <w:rFonts w:ascii="Arial" w:eastAsia="Times New Roman" w:hAnsi="Arial" w:cs="Arial"/>
          <w:bCs/>
          <w:sz w:val="24"/>
          <w:szCs w:val="24"/>
          <w:lang w:eastAsia="es-ES"/>
        </w:rPr>
        <w:t>25,7</w:t>
      </w:r>
      <w:r w:rsidR="00BB0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Por </w:t>
      </w:r>
      <w:r w:rsidR="00BB0D0B" w:rsidRPr="00453C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regionales, han destacado 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27,1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Asturias (26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82EFC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(25,5</w:t>
      </w:r>
      <w:r w:rsidR="004742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4,9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‘Resto’ (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23,4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Galicia (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22,0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 Andalucía (</w:t>
      </w:r>
      <w:r w:rsidR="00453C7A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21,5</w:t>
      </w:r>
      <w:r w:rsidR="00BB0D0B" w:rsidRPr="00453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B0D0B" w:rsidRPr="00453C7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A79AF" w:rsidRDefault="00AA79AF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B5B52" w:rsidRDefault="00D04E98" w:rsidP="006B5B5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FA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domingos</w:t>
      </w:r>
      <w:r w:rsidR="00551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551039" w:rsidRPr="005510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Sonsoles Ónega</w:t>
      </w:r>
      <w:r w:rsidR="00551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y Nuria Marín desplazada hasta la casa, </w:t>
      </w:r>
      <w:r w:rsidR="00FA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Casa Fuerte’ también ha sido la opción más vista de la noche con una media del </w:t>
      </w:r>
      <w:r w:rsidR="00FA6EA1" w:rsidRPr="00FA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15,9% de cuota de pantalla y 1.749.000 espectadores</w:t>
      </w:r>
      <w:r w:rsidR="00FA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aventajando por casi 6 puntos a Antena 3. Además, ha destacado su consumo en </w:t>
      </w:r>
      <w:r w:rsidR="00FA6EA1" w:rsidRPr="00B77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(21,2%)</w:t>
      </w:r>
      <w:r w:rsidR="00FA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6EA1" w:rsidRPr="00B77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(19,1%)</w:t>
      </w:r>
      <w:r w:rsidR="00FA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6EA1" w:rsidRPr="00B77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(18,7%)</w:t>
      </w:r>
      <w:r w:rsidR="00FA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6EA1" w:rsidRPr="00B77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Galicia (16,9%)</w:t>
      </w:r>
      <w:r w:rsidR="00FA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A6EA1" w:rsidRPr="00B77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‘Resto’ (16,8%)</w:t>
      </w:r>
      <w:r w:rsidR="00B2036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6B5B52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25" w:rsidRDefault="002C1025" w:rsidP="00B23904">
      <w:pPr>
        <w:spacing w:after="0" w:line="240" w:lineRule="auto"/>
      </w:pPr>
      <w:r>
        <w:separator/>
      </w:r>
    </w:p>
  </w:endnote>
  <w:endnote w:type="continuationSeparator" w:id="0">
    <w:p w:rsidR="002C1025" w:rsidRDefault="002C102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25" w:rsidRDefault="002C1025" w:rsidP="00B23904">
      <w:pPr>
        <w:spacing w:after="0" w:line="240" w:lineRule="auto"/>
      </w:pPr>
      <w:r>
        <w:separator/>
      </w:r>
    </w:p>
  </w:footnote>
  <w:footnote w:type="continuationSeparator" w:id="0">
    <w:p w:rsidR="002C1025" w:rsidRDefault="002C102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53DE"/>
    <w:rsid w:val="000975DB"/>
    <w:rsid w:val="000A108B"/>
    <w:rsid w:val="000A1CD7"/>
    <w:rsid w:val="000A22BA"/>
    <w:rsid w:val="000A29C3"/>
    <w:rsid w:val="000A43A1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291"/>
    <w:rsid w:val="000E45AD"/>
    <w:rsid w:val="000E51DF"/>
    <w:rsid w:val="000E5682"/>
    <w:rsid w:val="000E7B34"/>
    <w:rsid w:val="000F6359"/>
    <w:rsid w:val="0010016D"/>
    <w:rsid w:val="00102F0B"/>
    <w:rsid w:val="0010628F"/>
    <w:rsid w:val="0011131C"/>
    <w:rsid w:val="001202C2"/>
    <w:rsid w:val="001235EB"/>
    <w:rsid w:val="0012625C"/>
    <w:rsid w:val="0013482B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2EF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256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1025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9AA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3C7A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2E7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D72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039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0788"/>
    <w:rsid w:val="005A182D"/>
    <w:rsid w:val="005A28C6"/>
    <w:rsid w:val="005A4484"/>
    <w:rsid w:val="005A57A0"/>
    <w:rsid w:val="005A5FDD"/>
    <w:rsid w:val="005A7AFF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2A0E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7AED"/>
    <w:rsid w:val="00812C2B"/>
    <w:rsid w:val="00813B20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0EB"/>
    <w:rsid w:val="00837A64"/>
    <w:rsid w:val="00842E4C"/>
    <w:rsid w:val="00845C83"/>
    <w:rsid w:val="008477AA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3956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D6599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63D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A79AF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1E11"/>
    <w:rsid w:val="00B77FBB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1846"/>
    <w:rsid w:val="00BA65AD"/>
    <w:rsid w:val="00BB09B6"/>
    <w:rsid w:val="00BB0D0B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E98"/>
    <w:rsid w:val="00D0783B"/>
    <w:rsid w:val="00D11344"/>
    <w:rsid w:val="00D13130"/>
    <w:rsid w:val="00D167CB"/>
    <w:rsid w:val="00D2013F"/>
    <w:rsid w:val="00D241F0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49D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3CA9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2865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A6EA1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E0219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2C98-60A5-4171-AE7C-818D90B9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21</cp:revision>
  <cp:lastPrinted>2020-03-09T09:59:00Z</cp:lastPrinted>
  <dcterms:created xsi:type="dcterms:W3CDTF">2020-07-17T08:09:00Z</dcterms:created>
  <dcterms:modified xsi:type="dcterms:W3CDTF">2020-07-17T12:51:00Z</dcterms:modified>
</cp:coreProperties>
</file>