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A16E7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3943669</wp:posOffset>
            </wp:positionH>
            <wp:positionV relativeFrom="margin">
              <wp:posOffset>-33549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61D" w:rsidRDefault="00B3661D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261C" w:rsidRDefault="00BF261C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261C" w:rsidRDefault="00BF261C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16E76" w:rsidRDefault="00A16E76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A16E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97E69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A16E76">
      <w:pPr>
        <w:spacing w:after="0" w:line="240" w:lineRule="auto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FB7DD5" w:rsidRPr="00A16E76" w:rsidRDefault="00A97E69" w:rsidP="00A16E76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Mediterráneo Mediaset España </w:t>
      </w:r>
      <w:proofErr w:type="spellStart"/>
      <w:r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Group</w:t>
      </w:r>
      <w:proofErr w:type="spellEnd"/>
      <w:r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B7DD5"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incrementa </w:t>
      </w:r>
      <w:r w:rsidR="00E05E8C"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 50% </w:t>
      </w:r>
      <w:r w:rsidR="00FB7DD5"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sus ventas </w:t>
      </w:r>
      <w:r w:rsidR="008350D0"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plataformas </w:t>
      </w:r>
      <w:r w:rsidR="00AA69BD"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 el primer y</w:t>
      </w:r>
      <w:r w:rsidR="00FB7DD5" w:rsidRPr="00A16E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segundo trimestre del año </w:t>
      </w:r>
    </w:p>
    <w:p w:rsidR="004220A1" w:rsidRPr="00A16E76" w:rsidRDefault="004220A1" w:rsidP="00A16E76">
      <w:pPr>
        <w:pStyle w:val="Textosinformato"/>
        <w:jc w:val="center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:rsidR="00FB7DD5" w:rsidRPr="00FB7DD5" w:rsidRDefault="00FB7DD5" w:rsidP="00A16E76">
      <w:pPr>
        <w:pStyle w:val="Textosinforma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20A1">
        <w:rPr>
          <w:rFonts w:ascii="Arial" w:hAnsi="Arial" w:cs="Arial"/>
          <w:b/>
          <w:sz w:val="24"/>
          <w:szCs w:val="24"/>
        </w:rPr>
        <w:t>Mediaset España</w:t>
      </w:r>
      <w:r w:rsidR="00C0746A">
        <w:rPr>
          <w:rFonts w:ascii="Arial" w:hAnsi="Arial" w:cs="Arial"/>
          <w:b/>
          <w:sz w:val="24"/>
          <w:szCs w:val="24"/>
        </w:rPr>
        <w:t xml:space="preserve"> prevé durante el primer semestre de 2020 </w:t>
      </w:r>
      <w:r w:rsidR="005307EA">
        <w:rPr>
          <w:rFonts w:ascii="Arial" w:hAnsi="Arial" w:cs="Arial"/>
          <w:b/>
          <w:sz w:val="24"/>
          <w:szCs w:val="24"/>
        </w:rPr>
        <w:t xml:space="preserve">que </w:t>
      </w:r>
      <w:r w:rsidR="0051596F">
        <w:rPr>
          <w:rFonts w:ascii="Arial" w:hAnsi="Arial" w:cs="Arial"/>
          <w:b/>
          <w:sz w:val="24"/>
          <w:szCs w:val="24"/>
        </w:rPr>
        <w:t>las ventas a las principales p</w:t>
      </w:r>
      <w:r w:rsidRPr="004220A1">
        <w:rPr>
          <w:rFonts w:ascii="Arial" w:hAnsi="Arial" w:cs="Arial"/>
          <w:b/>
          <w:color w:val="000000"/>
          <w:sz w:val="24"/>
          <w:szCs w:val="24"/>
        </w:rPr>
        <w:t>lataformas con las que negocia desde su posición de privilegio como productora independiente</w:t>
      </w:r>
      <w:r w:rsidR="00C074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A69BD">
        <w:rPr>
          <w:rFonts w:ascii="Arial" w:hAnsi="Arial" w:cs="Arial"/>
          <w:b/>
          <w:color w:val="000000"/>
          <w:sz w:val="24"/>
          <w:szCs w:val="24"/>
        </w:rPr>
        <w:t>representen una suma</w:t>
      </w:r>
      <w:r w:rsidR="00C0746A">
        <w:rPr>
          <w:rFonts w:ascii="Arial" w:hAnsi="Arial" w:cs="Arial"/>
          <w:b/>
          <w:color w:val="000000"/>
          <w:sz w:val="24"/>
          <w:szCs w:val="24"/>
        </w:rPr>
        <w:t xml:space="preserve"> cinco veces</w:t>
      </w:r>
      <w:r w:rsidR="00AA69BD">
        <w:rPr>
          <w:rFonts w:ascii="Arial" w:hAnsi="Arial" w:cs="Arial"/>
          <w:b/>
          <w:color w:val="000000"/>
          <w:sz w:val="24"/>
          <w:szCs w:val="24"/>
        </w:rPr>
        <w:t xml:space="preserve"> superior a la de</w:t>
      </w:r>
      <w:r w:rsidR="008350D0">
        <w:rPr>
          <w:rFonts w:ascii="Arial" w:hAnsi="Arial" w:cs="Arial"/>
          <w:b/>
          <w:color w:val="000000"/>
          <w:sz w:val="24"/>
          <w:szCs w:val="24"/>
        </w:rPr>
        <w:t>l primer semestre de</w:t>
      </w:r>
      <w:r w:rsidR="005307EA">
        <w:rPr>
          <w:rFonts w:ascii="Arial" w:hAnsi="Arial" w:cs="Arial"/>
          <w:b/>
          <w:color w:val="000000"/>
          <w:sz w:val="24"/>
          <w:szCs w:val="24"/>
        </w:rPr>
        <w:t xml:space="preserve"> 2019</w:t>
      </w:r>
      <w:r w:rsidR="00A16E7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220A1" w:rsidRPr="004220A1" w:rsidRDefault="004220A1" w:rsidP="00A16E76">
      <w:pPr>
        <w:pStyle w:val="Textosinforma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DD5" w:rsidRDefault="004220A1" w:rsidP="00A16E76">
      <w:pPr>
        <w:pStyle w:val="Textosinforma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20A1">
        <w:rPr>
          <w:rFonts w:ascii="Arial" w:hAnsi="Arial" w:cs="Arial"/>
          <w:b/>
          <w:bCs/>
          <w:color w:val="000000"/>
          <w:sz w:val="24"/>
          <w:szCs w:val="24"/>
        </w:rPr>
        <w:t>Distribuye seis de sus series de éxito a Netflix y Amazon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Prime Video </w:t>
      </w:r>
      <w:r w:rsidRPr="004220A1">
        <w:rPr>
          <w:rFonts w:ascii="Arial" w:hAnsi="Arial" w:cs="Arial"/>
          <w:b/>
          <w:bCs/>
          <w:color w:val="000000"/>
          <w:sz w:val="24"/>
          <w:szCs w:val="24"/>
        </w:rPr>
        <w:t>en el primer semestre de 2020, la misma cantidad de producto adquirido entre Amazon</w:t>
      </w:r>
      <w:r w:rsidR="002E0EE9">
        <w:rPr>
          <w:rFonts w:ascii="Arial" w:hAnsi="Arial" w:cs="Arial"/>
          <w:b/>
          <w:bCs/>
          <w:color w:val="000000"/>
          <w:sz w:val="24"/>
          <w:szCs w:val="24"/>
        </w:rPr>
        <w:t xml:space="preserve"> Prime Video</w:t>
      </w:r>
      <w:r w:rsidRPr="004220A1">
        <w:rPr>
          <w:rFonts w:ascii="Arial" w:hAnsi="Arial" w:cs="Arial"/>
          <w:b/>
          <w:bCs/>
          <w:color w:val="000000"/>
          <w:sz w:val="24"/>
          <w:szCs w:val="24"/>
        </w:rPr>
        <w:t xml:space="preserve"> y HBO en 2019. </w:t>
      </w:r>
    </w:p>
    <w:p w:rsidR="004220A1" w:rsidRDefault="004220A1" w:rsidP="00A16E76">
      <w:pPr>
        <w:pStyle w:val="NormalWeb"/>
        <w:rPr>
          <w:color w:val="000000"/>
        </w:rPr>
      </w:pPr>
    </w:p>
    <w:p w:rsidR="00AA69BD" w:rsidRDefault="00AA69BD" w:rsidP="00A16E76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69BD" w:rsidRPr="00AA69BD" w:rsidRDefault="00AA69BD" w:rsidP="00A16E76">
      <w:pPr>
        <w:pStyle w:val="Textosinformato"/>
        <w:jc w:val="both"/>
        <w:rPr>
          <w:rFonts w:ascii="Arial" w:hAnsi="Arial" w:cs="Arial"/>
          <w:bCs/>
          <w:sz w:val="24"/>
          <w:szCs w:val="24"/>
        </w:rPr>
      </w:pPr>
      <w:r w:rsidRPr="00AA69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Coincidiendo con el aumento generalizado del consumo de contenidos audiovisuales provocado por el Estado de Alarma, las ventas de Mediterráneo </w:t>
      </w:r>
      <w:r w:rsidRPr="00AA69BD">
        <w:rPr>
          <w:rFonts w:ascii="Arial" w:hAnsi="Arial" w:cs="Arial"/>
          <w:bCs/>
          <w:sz w:val="24"/>
          <w:szCs w:val="24"/>
        </w:rPr>
        <w:t xml:space="preserve">Mediaset España </w:t>
      </w:r>
      <w:proofErr w:type="spellStart"/>
      <w:r w:rsidRPr="00AA69BD">
        <w:rPr>
          <w:rFonts w:ascii="Arial" w:hAnsi="Arial" w:cs="Arial"/>
          <w:bCs/>
          <w:sz w:val="24"/>
          <w:szCs w:val="24"/>
        </w:rPr>
        <w:t>Group</w:t>
      </w:r>
      <w:proofErr w:type="spellEnd"/>
      <w:r w:rsidRPr="00AA69BD">
        <w:rPr>
          <w:rFonts w:ascii="Arial" w:hAnsi="Arial" w:cs="Arial"/>
          <w:bCs/>
          <w:sz w:val="24"/>
          <w:szCs w:val="24"/>
        </w:rPr>
        <w:t xml:space="preserve"> </w:t>
      </w:r>
      <w:r w:rsidR="00343CBE">
        <w:rPr>
          <w:rFonts w:ascii="Arial" w:hAnsi="Arial" w:cs="Arial"/>
          <w:bCs/>
          <w:sz w:val="24"/>
          <w:szCs w:val="24"/>
        </w:rPr>
        <w:t xml:space="preserve">a plataformas </w:t>
      </w:r>
      <w:r w:rsidRPr="00AA69BD">
        <w:rPr>
          <w:rFonts w:ascii="Arial" w:hAnsi="Arial" w:cs="Arial"/>
          <w:bCs/>
          <w:sz w:val="24"/>
          <w:szCs w:val="24"/>
        </w:rPr>
        <w:t>se</w:t>
      </w:r>
      <w:r>
        <w:rPr>
          <w:rFonts w:ascii="Arial" w:hAnsi="Arial" w:cs="Arial"/>
          <w:bCs/>
          <w:sz w:val="24"/>
          <w:szCs w:val="24"/>
        </w:rPr>
        <w:t xml:space="preserve"> han incrementado </w:t>
      </w:r>
      <w:r w:rsidRPr="00AA69BD">
        <w:rPr>
          <w:rFonts w:ascii="Arial" w:hAnsi="Arial" w:cs="Arial"/>
          <w:bCs/>
          <w:sz w:val="24"/>
          <w:szCs w:val="24"/>
        </w:rPr>
        <w:t>en un 50% en</w:t>
      </w:r>
      <w:r>
        <w:rPr>
          <w:rFonts w:ascii="Arial" w:hAnsi="Arial" w:cs="Arial"/>
          <w:bCs/>
          <w:sz w:val="24"/>
          <w:szCs w:val="24"/>
        </w:rPr>
        <w:t>tre</w:t>
      </w:r>
      <w:r w:rsidRPr="00AA69BD">
        <w:rPr>
          <w:rFonts w:ascii="Arial" w:hAnsi="Arial" w:cs="Arial"/>
          <w:bCs/>
          <w:sz w:val="24"/>
          <w:szCs w:val="24"/>
        </w:rPr>
        <w:t xml:space="preserve"> el primer y el segundo trimestre del año.</w:t>
      </w:r>
    </w:p>
    <w:p w:rsidR="004220A1" w:rsidRDefault="004220A1" w:rsidP="00A16E76">
      <w:pPr>
        <w:pStyle w:val="Textosinforma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20BE1" w:rsidRDefault="00C20BE1" w:rsidP="00A16E76">
      <w:pPr>
        <w:pStyle w:val="Textosinforma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307EA">
        <w:rPr>
          <w:rFonts w:ascii="Arial" w:hAnsi="Arial" w:cs="Arial"/>
          <w:b/>
          <w:sz w:val="24"/>
          <w:szCs w:val="24"/>
        </w:rPr>
        <w:t>Mediaset España prevé quintuplicar durante el primer semestre de 2020 las ventas de</w:t>
      </w:r>
      <w:r w:rsidR="008350D0">
        <w:rPr>
          <w:rFonts w:ascii="Arial" w:hAnsi="Arial" w:cs="Arial"/>
          <w:b/>
          <w:sz w:val="24"/>
          <w:szCs w:val="24"/>
        </w:rPr>
        <w:t xml:space="preserve">l primer semestre de </w:t>
      </w:r>
      <w:r w:rsidRPr="005307EA">
        <w:rPr>
          <w:rFonts w:ascii="Arial" w:hAnsi="Arial" w:cs="Arial"/>
          <w:b/>
          <w:sz w:val="24"/>
          <w:szCs w:val="24"/>
        </w:rPr>
        <w:t>2019</w:t>
      </w:r>
      <w:r w:rsidRPr="0051596F">
        <w:rPr>
          <w:rFonts w:ascii="Arial" w:hAnsi="Arial" w:cs="Arial"/>
          <w:bCs/>
          <w:sz w:val="24"/>
          <w:szCs w:val="24"/>
        </w:rPr>
        <w:t xml:space="preserve"> a las principales p</w:t>
      </w:r>
      <w:r w:rsidRPr="0051596F">
        <w:rPr>
          <w:rFonts w:ascii="Arial" w:hAnsi="Arial" w:cs="Arial"/>
          <w:bCs/>
          <w:color w:val="000000"/>
          <w:sz w:val="24"/>
          <w:szCs w:val="24"/>
        </w:rPr>
        <w:t>lataformas con las que negocia desde su posición de privilegio como productora independiente.</w:t>
      </w:r>
    </w:p>
    <w:p w:rsidR="00C20BE1" w:rsidRPr="0051596F" w:rsidRDefault="00C20BE1" w:rsidP="00A16E76">
      <w:pPr>
        <w:pStyle w:val="Textosinforma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16E76" w:rsidRDefault="00107F57" w:rsidP="00A16E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01372">
        <w:rPr>
          <w:rFonts w:ascii="Arial" w:hAnsi="Arial" w:cs="Arial"/>
          <w:sz w:val="24"/>
          <w:szCs w:val="24"/>
        </w:rPr>
        <w:t xml:space="preserve">En tan sólo un año de actividad, </w:t>
      </w:r>
      <w:r w:rsidR="00F3581B" w:rsidRPr="00E01372">
        <w:rPr>
          <w:rFonts w:ascii="Arial" w:eastAsia="Times New Roman" w:hAnsi="Arial" w:cs="Arial"/>
          <w:sz w:val="24"/>
          <w:szCs w:val="24"/>
        </w:rPr>
        <w:t>el negocio de Mediaset España se ha expandido a través de la venta, la producción y la distribución de contenidos a terceros</w:t>
      </w:r>
      <w:r w:rsidRPr="00E01372">
        <w:rPr>
          <w:rFonts w:ascii="Arial" w:eastAsia="Times New Roman" w:hAnsi="Arial" w:cs="Arial"/>
          <w:sz w:val="24"/>
          <w:szCs w:val="24"/>
        </w:rPr>
        <w:t>, llegando a acuerdos con</w:t>
      </w:r>
      <w:r w:rsidR="005720B6" w:rsidRPr="00E01372">
        <w:rPr>
          <w:rFonts w:ascii="Arial" w:eastAsia="Times New Roman" w:hAnsi="Arial" w:cs="Arial"/>
          <w:sz w:val="24"/>
          <w:szCs w:val="24"/>
        </w:rPr>
        <w:t xml:space="preserve"> grandes plataformas como</w:t>
      </w:r>
      <w:r w:rsidRPr="00E01372">
        <w:rPr>
          <w:rFonts w:ascii="Arial" w:eastAsia="Times New Roman" w:hAnsi="Arial" w:cs="Arial"/>
          <w:sz w:val="24"/>
          <w:szCs w:val="24"/>
        </w:rPr>
        <w:t xml:space="preserve"> </w:t>
      </w:r>
      <w:r w:rsidRPr="00E01372">
        <w:rPr>
          <w:rFonts w:ascii="Arial" w:eastAsia="Times New Roman" w:hAnsi="Arial" w:cs="Arial"/>
          <w:b/>
          <w:bCs/>
          <w:sz w:val="24"/>
          <w:szCs w:val="24"/>
        </w:rPr>
        <w:t>Amazon Prime Video, Netflix y HBO</w:t>
      </w:r>
      <w:r w:rsidR="008B42BE" w:rsidRPr="00E01372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5720B6" w:rsidRPr="00E01372">
        <w:rPr>
          <w:rFonts w:ascii="Arial" w:eastAsia="Times New Roman" w:hAnsi="Arial" w:cs="Arial"/>
          <w:b/>
          <w:bCs/>
          <w:sz w:val="24"/>
          <w:szCs w:val="24"/>
        </w:rPr>
        <w:t xml:space="preserve"> y compañías de servicio OTT como Movistar +, Vodafone, </w:t>
      </w:r>
      <w:proofErr w:type="spellStart"/>
      <w:r w:rsidR="005720B6" w:rsidRPr="00E01372">
        <w:rPr>
          <w:rFonts w:ascii="Arial" w:eastAsia="Times New Roman" w:hAnsi="Arial" w:cs="Arial"/>
          <w:b/>
          <w:bCs/>
          <w:sz w:val="24"/>
          <w:szCs w:val="24"/>
        </w:rPr>
        <w:t>Viacom</w:t>
      </w:r>
      <w:proofErr w:type="spellEnd"/>
      <w:r w:rsidR="005720B6" w:rsidRPr="00E01372">
        <w:rPr>
          <w:rFonts w:ascii="Arial" w:eastAsia="Times New Roman" w:hAnsi="Arial" w:cs="Arial"/>
          <w:b/>
          <w:bCs/>
          <w:sz w:val="24"/>
          <w:szCs w:val="24"/>
        </w:rPr>
        <w:t>/CBS, Orange, Euskaltel, Direct TV y América Móvil,</w:t>
      </w:r>
      <w:r w:rsidR="005720B6" w:rsidRPr="00E01372">
        <w:rPr>
          <w:rFonts w:ascii="Arial" w:eastAsia="Times New Roman" w:hAnsi="Arial" w:cs="Arial"/>
          <w:sz w:val="24"/>
          <w:szCs w:val="24"/>
        </w:rPr>
        <w:t xml:space="preserve"> entre otras,</w:t>
      </w:r>
      <w:r w:rsidR="008B42BE" w:rsidRPr="00E01372">
        <w:rPr>
          <w:rFonts w:ascii="Arial" w:eastAsia="Times New Roman" w:hAnsi="Arial" w:cs="Arial"/>
          <w:sz w:val="24"/>
          <w:szCs w:val="24"/>
        </w:rPr>
        <w:t xml:space="preserve"> con l</w:t>
      </w:r>
      <w:r w:rsidR="00E01372" w:rsidRPr="00E01372">
        <w:rPr>
          <w:rFonts w:ascii="Arial" w:eastAsia="Times New Roman" w:hAnsi="Arial" w:cs="Arial"/>
          <w:sz w:val="24"/>
          <w:szCs w:val="24"/>
        </w:rPr>
        <w:t>a</w:t>
      </w:r>
      <w:r w:rsidR="008B42BE" w:rsidRPr="00E01372">
        <w:rPr>
          <w:rFonts w:ascii="Arial" w:eastAsia="Times New Roman" w:hAnsi="Arial" w:cs="Arial"/>
          <w:sz w:val="24"/>
          <w:szCs w:val="24"/>
        </w:rPr>
        <w:t xml:space="preserve">s que Mediterráneo </w:t>
      </w:r>
      <w:r w:rsidR="0051596F">
        <w:rPr>
          <w:rFonts w:ascii="Arial" w:eastAsia="Times New Roman" w:hAnsi="Arial" w:cs="Arial"/>
          <w:sz w:val="24"/>
          <w:szCs w:val="24"/>
        </w:rPr>
        <w:t xml:space="preserve">Mediaset España </w:t>
      </w:r>
      <w:proofErr w:type="spellStart"/>
      <w:r w:rsidR="0051596F">
        <w:rPr>
          <w:rFonts w:ascii="Arial" w:eastAsia="Times New Roman" w:hAnsi="Arial" w:cs="Arial"/>
          <w:sz w:val="24"/>
          <w:szCs w:val="24"/>
        </w:rPr>
        <w:t>Group</w:t>
      </w:r>
      <w:proofErr w:type="spellEnd"/>
      <w:r w:rsidR="0051596F">
        <w:rPr>
          <w:rFonts w:ascii="Arial" w:eastAsia="Times New Roman" w:hAnsi="Arial" w:cs="Arial"/>
          <w:sz w:val="24"/>
          <w:szCs w:val="24"/>
        </w:rPr>
        <w:t xml:space="preserve"> </w:t>
      </w:r>
      <w:r w:rsidR="008B42BE" w:rsidRPr="00E01372">
        <w:rPr>
          <w:rFonts w:ascii="Arial" w:eastAsia="Times New Roman" w:hAnsi="Arial" w:cs="Arial"/>
          <w:sz w:val="24"/>
          <w:szCs w:val="24"/>
        </w:rPr>
        <w:t>ha contribuido a</w:t>
      </w:r>
      <w:r w:rsidR="008B42BE" w:rsidRPr="00E01372">
        <w:rPr>
          <w:rFonts w:ascii="Arial" w:hAnsi="Arial" w:cs="Arial"/>
          <w:sz w:val="24"/>
          <w:szCs w:val="24"/>
        </w:rPr>
        <w:t xml:space="preserve"> </w:t>
      </w:r>
      <w:r w:rsidR="008B42BE" w:rsidRPr="00E013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la partida de ‘Otros Ingresos’ </w:t>
      </w:r>
      <w:r w:rsidR="00E01372" w:rsidRPr="00E013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Mediaset España </w:t>
      </w:r>
      <w:r w:rsidR="008B42BE" w:rsidRPr="00E01372">
        <w:rPr>
          <w:rFonts w:ascii="Arial" w:eastAsia="Times New Roman" w:hAnsi="Arial" w:cs="Arial"/>
          <w:bCs/>
          <w:sz w:val="24"/>
          <w:szCs w:val="24"/>
          <w:lang w:eastAsia="es-ES"/>
        </w:rPr>
        <w:t>casi se haya duplicado durante el primer trimestre de 2020 frente al mismo periodo de 2019, hasta 35,4M€.</w:t>
      </w:r>
    </w:p>
    <w:p w:rsidR="00A16E76" w:rsidRDefault="00A16E76" w:rsidP="00A16E76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:rsidR="009367D1" w:rsidRPr="00A16E76" w:rsidRDefault="009367D1" w:rsidP="00A16E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6E76">
        <w:rPr>
          <w:rFonts w:ascii="Arial" w:hAnsi="Arial" w:cs="Arial"/>
          <w:b/>
          <w:bCs/>
          <w:color w:val="002C5F"/>
          <w:sz w:val="28"/>
          <w:szCs w:val="28"/>
        </w:rPr>
        <w:t xml:space="preserve">El éxito de la ficción de Mediaset España </w:t>
      </w:r>
      <w:r w:rsidR="0051596F" w:rsidRPr="00A16E76">
        <w:rPr>
          <w:rFonts w:ascii="Arial" w:hAnsi="Arial" w:cs="Arial"/>
          <w:b/>
          <w:bCs/>
          <w:color w:val="002C5F"/>
          <w:sz w:val="28"/>
          <w:szCs w:val="28"/>
        </w:rPr>
        <w:t>invade</w:t>
      </w:r>
      <w:r w:rsidR="00040992" w:rsidRPr="00A16E76">
        <w:rPr>
          <w:rFonts w:ascii="Arial" w:hAnsi="Arial" w:cs="Arial"/>
          <w:b/>
          <w:bCs/>
          <w:color w:val="002C5F"/>
          <w:sz w:val="28"/>
          <w:szCs w:val="28"/>
        </w:rPr>
        <w:t xml:space="preserve"> las plataformas</w:t>
      </w:r>
    </w:p>
    <w:p w:rsidR="00A16E76" w:rsidRDefault="00A16E76" w:rsidP="00A16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7D1" w:rsidRDefault="00F3581B" w:rsidP="00A16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7D1">
        <w:rPr>
          <w:rFonts w:ascii="Arial" w:hAnsi="Arial" w:cs="Arial"/>
          <w:sz w:val="24"/>
          <w:szCs w:val="24"/>
        </w:rPr>
        <w:t>Las series de Mediaset España son</w:t>
      </w:r>
      <w:r w:rsidR="009367D1">
        <w:rPr>
          <w:rFonts w:ascii="Arial" w:hAnsi="Arial" w:cs="Arial"/>
          <w:sz w:val="24"/>
          <w:szCs w:val="24"/>
        </w:rPr>
        <w:t xml:space="preserve"> en la actualidad</w:t>
      </w:r>
      <w:r w:rsidRPr="009367D1">
        <w:rPr>
          <w:rFonts w:ascii="Arial" w:hAnsi="Arial" w:cs="Arial"/>
          <w:sz w:val="24"/>
          <w:szCs w:val="24"/>
        </w:rPr>
        <w:t xml:space="preserve"> las que gozan de mayor éxito de audiencias: cuatro de ellas (‘La que se avecina’, ‘El Pueblo’, ‘Vivir sin permiso’ y ‘Lejos de ti’) se sitúan entre las cinco series nacionales más vistas de la temporada</w:t>
      </w:r>
      <w:r w:rsidR="009367D1">
        <w:rPr>
          <w:rFonts w:ascii="Arial" w:hAnsi="Arial" w:cs="Arial"/>
          <w:sz w:val="24"/>
          <w:szCs w:val="24"/>
        </w:rPr>
        <w:t xml:space="preserve"> en su distribución en abierto</w:t>
      </w:r>
      <w:r w:rsidRPr="009367D1">
        <w:rPr>
          <w:rFonts w:ascii="Arial" w:hAnsi="Arial" w:cs="Arial"/>
          <w:sz w:val="24"/>
          <w:szCs w:val="24"/>
        </w:rPr>
        <w:t xml:space="preserve">. </w:t>
      </w:r>
    </w:p>
    <w:p w:rsidR="009367D1" w:rsidRDefault="009367D1" w:rsidP="00A16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BE1">
        <w:rPr>
          <w:rFonts w:ascii="Arial" w:hAnsi="Arial" w:cs="Arial"/>
          <w:b/>
          <w:bCs/>
          <w:sz w:val="24"/>
          <w:szCs w:val="24"/>
        </w:rPr>
        <w:lastRenderedPageBreak/>
        <w:t>Amazon Prime Video</w:t>
      </w:r>
      <w:r w:rsidRPr="009367D1">
        <w:rPr>
          <w:rFonts w:ascii="Arial" w:hAnsi="Arial" w:cs="Arial"/>
          <w:sz w:val="24"/>
          <w:szCs w:val="24"/>
        </w:rPr>
        <w:t xml:space="preserve"> ha estrenado en exclusiva la T1 y T2 de ‘El </w:t>
      </w:r>
      <w:r>
        <w:rPr>
          <w:rFonts w:ascii="Arial" w:hAnsi="Arial" w:cs="Arial"/>
          <w:sz w:val="24"/>
          <w:szCs w:val="24"/>
        </w:rPr>
        <w:t>P</w:t>
      </w:r>
      <w:r w:rsidRPr="009367D1">
        <w:rPr>
          <w:rFonts w:ascii="Arial" w:hAnsi="Arial" w:cs="Arial"/>
          <w:sz w:val="24"/>
          <w:szCs w:val="24"/>
        </w:rPr>
        <w:t xml:space="preserve">ueblo’; los nuevos capítulos de ‘La que se avecina’ </w:t>
      </w:r>
      <w:r>
        <w:rPr>
          <w:rFonts w:ascii="Arial" w:hAnsi="Arial" w:cs="Arial"/>
          <w:sz w:val="24"/>
          <w:szCs w:val="24"/>
        </w:rPr>
        <w:t xml:space="preserve">junto a las </w:t>
      </w:r>
      <w:r w:rsidRPr="009367D1">
        <w:rPr>
          <w:rFonts w:ascii="Arial" w:hAnsi="Arial" w:cs="Arial"/>
          <w:sz w:val="24"/>
          <w:szCs w:val="24"/>
        </w:rPr>
        <w:t>anteriores temporadas de la serie</w:t>
      </w:r>
      <w:r>
        <w:rPr>
          <w:rFonts w:ascii="Arial" w:hAnsi="Arial" w:cs="Arial"/>
          <w:sz w:val="24"/>
          <w:szCs w:val="24"/>
        </w:rPr>
        <w:t>,</w:t>
      </w:r>
      <w:r w:rsidRPr="009367D1">
        <w:rPr>
          <w:rFonts w:ascii="Arial" w:hAnsi="Arial" w:cs="Arial"/>
          <w:sz w:val="24"/>
          <w:szCs w:val="24"/>
        </w:rPr>
        <w:t xml:space="preserve"> ‘Madres</w:t>
      </w:r>
      <w:r w:rsidR="00EE2C12">
        <w:rPr>
          <w:rFonts w:ascii="Arial" w:hAnsi="Arial" w:cs="Arial"/>
          <w:sz w:val="24"/>
          <w:szCs w:val="24"/>
        </w:rPr>
        <w:t>: amor y vida</w:t>
      </w:r>
      <w:r w:rsidRPr="009367D1">
        <w:rPr>
          <w:rFonts w:ascii="Arial" w:hAnsi="Arial" w:cs="Arial"/>
          <w:sz w:val="24"/>
          <w:szCs w:val="24"/>
        </w:rPr>
        <w:t>’</w:t>
      </w:r>
      <w:r w:rsidR="009F72A5">
        <w:rPr>
          <w:rFonts w:ascii="Arial" w:hAnsi="Arial" w:cs="Arial"/>
          <w:sz w:val="24"/>
          <w:szCs w:val="24"/>
        </w:rPr>
        <w:t>,</w:t>
      </w:r>
      <w:r w:rsidRPr="009367D1">
        <w:rPr>
          <w:rFonts w:ascii="Arial" w:hAnsi="Arial" w:cs="Arial"/>
          <w:sz w:val="24"/>
          <w:szCs w:val="24"/>
        </w:rPr>
        <w:t xml:space="preserve"> ‘Caronte’</w:t>
      </w:r>
      <w:r w:rsidR="009F72A5">
        <w:rPr>
          <w:rFonts w:ascii="Arial" w:hAnsi="Arial" w:cs="Arial"/>
          <w:sz w:val="24"/>
          <w:szCs w:val="24"/>
        </w:rPr>
        <w:t xml:space="preserve"> y </w:t>
      </w:r>
      <w:r w:rsidR="009F72A5" w:rsidRPr="009367D1">
        <w:rPr>
          <w:rFonts w:ascii="Arial" w:hAnsi="Arial" w:cs="Arial"/>
          <w:sz w:val="24"/>
          <w:szCs w:val="24"/>
        </w:rPr>
        <w:t>‘Desaparecidos. La serie’</w:t>
      </w:r>
      <w:r w:rsidR="009F72A5">
        <w:rPr>
          <w:rFonts w:ascii="Arial" w:hAnsi="Arial" w:cs="Arial"/>
          <w:sz w:val="24"/>
          <w:szCs w:val="24"/>
        </w:rPr>
        <w:t>. Además,</w:t>
      </w:r>
      <w:r w:rsidR="008104CB">
        <w:rPr>
          <w:rFonts w:ascii="Arial" w:hAnsi="Arial" w:cs="Arial"/>
          <w:sz w:val="24"/>
          <w:szCs w:val="24"/>
        </w:rPr>
        <w:t xml:space="preserve"> dispone de la T1 de </w:t>
      </w:r>
      <w:r w:rsidR="008104CB" w:rsidRPr="009367D1">
        <w:rPr>
          <w:rFonts w:ascii="Arial" w:hAnsi="Arial" w:cs="Arial"/>
          <w:sz w:val="24"/>
          <w:szCs w:val="24"/>
        </w:rPr>
        <w:t>‘Señoras del (h)AMPA’</w:t>
      </w:r>
      <w:r w:rsidRPr="009367D1">
        <w:rPr>
          <w:rFonts w:ascii="Arial" w:hAnsi="Arial" w:cs="Arial"/>
          <w:sz w:val="24"/>
          <w:szCs w:val="24"/>
        </w:rPr>
        <w:t xml:space="preserve">. </w:t>
      </w:r>
      <w:r w:rsidR="009F72A5">
        <w:rPr>
          <w:rFonts w:ascii="Arial" w:hAnsi="Arial" w:cs="Arial"/>
          <w:sz w:val="24"/>
          <w:szCs w:val="24"/>
        </w:rPr>
        <w:t>Las</w:t>
      </w:r>
      <w:r w:rsidRPr="009367D1">
        <w:rPr>
          <w:rFonts w:ascii="Arial" w:hAnsi="Arial" w:cs="Arial"/>
          <w:sz w:val="24"/>
          <w:szCs w:val="24"/>
        </w:rPr>
        <w:t xml:space="preserve"> ficciones </w:t>
      </w:r>
      <w:r w:rsidR="009F72A5">
        <w:rPr>
          <w:rFonts w:ascii="Arial" w:hAnsi="Arial" w:cs="Arial"/>
          <w:sz w:val="24"/>
          <w:szCs w:val="24"/>
        </w:rPr>
        <w:t xml:space="preserve">de estreno </w:t>
      </w:r>
      <w:r w:rsidRPr="009367D1">
        <w:rPr>
          <w:rFonts w:ascii="Arial" w:hAnsi="Arial" w:cs="Arial"/>
          <w:sz w:val="24"/>
          <w:szCs w:val="24"/>
        </w:rPr>
        <w:t>se podrán emitir en abierto en Mediaset España una vez que se cumpla la ventana de exclusividad de Amazon Prime Video.</w:t>
      </w:r>
    </w:p>
    <w:p w:rsidR="009367D1" w:rsidRDefault="009367D1" w:rsidP="00A16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7D1" w:rsidRDefault="009367D1" w:rsidP="00A16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C20BE1">
        <w:rPr>
          <w:rFonts w:ascii="Arial" w:hAnsi="Arial" w:cs="Arial"/>
          <w:b/>
          <w:bCs/>
          <w:sz w:val="24"/>
          <w:szCs w:val="24"/>
        </w:rPr>
        <w:t>Netflix</w:t>
      </w:r>
      <w:r>
        <w:rPr>
          <w:rFonts w:ascii="Arial" w:hAnsi="Arial" w:cs="Arial"/>
          <w:sz w:val="24"/>
          <w:szCs w:val="24"/>
        </w:rPr>
        <w:t xml:space="preserve"> ofrece en su catálogo la serie ‘Vivir sin permiso’, </w:t>
      </w:r>
      <w:r w:rsidR="009F72A5">
        <w:rPr>
          <w:rFonts w:ascii="Arial" w:hAnsi="Arial" w:cs="Arial"/>
          <w:sz w:val="24"/>
          <w:szCs w:val="24"/>
        </w:rPr>
        <w:t>que estuvo</w:t>
      </w:r>
      <w:r>
        <w:rPr>
          <w:rFonts w:ascii="Arial" w:hAnsi="Arial" w:cs="Arial"/>
          <w:sz w:val="24"/>
          <w:szCs w:val="24"/>
        </w:rPr>
        <w:t xml:space="preserve"> </w:t>
      </w:r>
      <w:r w:rsidRPr="00E01372">
        <w:rPr>
          <w:rFonts w:ascii="Arial" w:hAnsi="Arial" w:cs="Arial"/>
          <w:sz w:val="24"/>
          <w:szCs w:val="24"/>
        </w:rPr>
        <w:t>en el Top Ten de lo más visto de la plataforma en nuestro país</w:t>
      </w:r>
      <w:r>
        <w:rPr>
          <w:rFonts w:ascii="Arial" w:hAnsi="Arial" w:cs="Arial"/>
          <w:sz w:val="24"/>
          <w:szCs w:val="24"/>
        </w:rPr>
        <w:t>.</w:t>
      </w:r>
    </w:p>
    <w:p w:rsidR="009367D1" w:rsidRDefault="009367D1" w:rsidP="00A16E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7D1" w:rsidRPr="009367D1" w:rsidRDefault="009367D1" w:rsidP="00A16E7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7D1">
        <w:rPr>
          <w:rFonts w:ascii="Arial" w:hAnsi="Arial" w:cs="Arial"/>
          <w:sz w:val="24"/>
          <w:szCs w:val="24"/>
        </w:rPr>
        <w:t xml:space="preserve">Para </w:t>
      </w:r>
      <w:r w:rsidRPr="00C20BE1">
        <w:rPr>
          <w:rFonts w:ascii="Arial" w:hAnsi="Arial" w:cs="Arial"/>
          <w:b/>
          <w:bCs/>
          <w:sz w:val="24"/>
          <w:szCs w:val="24"/>
        </w:rPr>
        <w:t>HBO</w:t>
      </w:r>
      <w:r w:rsidRPr="009367D1">
        <w:rPr>
          <w:rFonts w:ascii="Arial" w:hAnsi="Arial" w:cs="Arial"/>
          <w:sz w:val="24"/>
          <w:szCs w:val="24"/>
        </w:rPr>
        <w:t xml:space="preserve">, Mediterráneo Mediaset España </w:t>
      </w:r>
      <w:proofErr w:type="spellStart"/>
      <w:r w:rsidRPr="009367D1">
        <w:rPr>
          <w:rFonts w:ascii="Arial" w:hAnsi="Arial" w:cs="Arial"/>
          <w:sz w:val="24"/>
          <w:szCs w:val="24"/>
        </w:rPr>
        <w:t>Group</w:t>
      </w:r>
      <w:proofErr w:type="spellEnd"/>
      <w:r w:rsidRPr="009367D1">
        <w:rPr>
          <w:rFonts w:ascii="Arial" w:hAnsi="Arial" w:cs="Arial"/>
          <w:sz w:val="24"/>
          <w:szCs w:val="24"/>
        </w:rPr>
        <w:t xml:space="preserve"> ha producido a través de Alea Media la serie ‘Patria’, basada en el </w:t>
      </w:r>
      <w:proofErr w:type="spellStart"/>
      <w:proofErr w:type="gramStart"/>
      <w:r w:rsidRPr="00D40D6E">
        <w:rPr>
          <w:rFonts w:ascii="Arial" w:hAnsi="Arial" w:cs="Arial"/>
          <w:i/>
          <w:iCs/>
          <w:sz w:val="24"/>
          <w:szCs w:val="24"/>
        </w:rPr>
        <w:t>best</w:t>
      </w:r>
      <w:proofErr w:type="spellEnd"/>
      <w:r w:rsidRPr="00D40D6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40D6E">
        <w:rPr>
          <w:rFonts w:ascii="Arial" w:hAnsi="Arial" w:cs="Arial"/>
          <w:i/>
          <w:iCs/>
          <w:sz w:val="24"/>
          <w:szCs w:val="24"/>
        </w:rPr>
        <w:t>seller</w:t>
      </w:r>
      <w:proofErr w:type="spellEnd"/>
      <w:proofErr w:type="gramEnd"/>
      <w:r w:rsidRPr="009367D1">
        <w:rPr>
          <w:rFonts w:ascii="Arial" w:hAnsi="Arial" w:cs="Arial"/>
          <w:sz w:val="24"/>
          <w:szCs w:val="24"/>
        </w:rPr>
        <w:t xml:space="preserve"> literario de Fernando Aramburu</w:t>
      </w:r>
      <w:r w:rsidR="00040992">
        <w:rPr>
          <w:rFonts w:ascii="Arial" w:hAnsi="Arial" w:cs="Arial"/>
          <w:sz w:val="24"/>
          <w:szCs w:val="24"/>
        </w:rPr>
        <w:t>.</w:t>
      </w:r>
    </w:p>
    <w:p w:rsidR="00C20BE1" w:rsidRDefault="00C20BE1" w:rsidP="00A16E7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9367D1" w:rsidRPr="00E01372" w:rsidRDefault="002B33CD" w:rsidP="00A16E76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 la ficción, Mediterráneo ha llegado a un acuerdo de producción exclusiva para Amazon Prime Video de las </w:t>
      </w:r>
      <w:proofErr w:type="spellStart"/>
      <w:r>
        <w:rPr>
          <w:rFonts w:ascii="Arial" w:hAnsi="Arial" w:cs="Arial"/>
          <w:sz w:val="24"/>
          <w:szCs w:val="24"/>
        </w:rPr>
        <w:t>docuseries</w:t>
      </w:r>
      <w:proofErr w:type="spellEnd"/>
      <w:r>
        <w:rPr>
          <w:rFonts w:ascii="Arial" w:hAnsi="Arial" w:cs="Arial"/>
          <w:sz w:val="24"/>
          <w:szCs w:val="24"/>
        </w:rPr>
        <w:t xml:space="preserve"> de estreno ‘De la vida al plato’ y ‘La familia del Baloncesto Español’.</w:t>
      </w:r>
    </w:p>
    <w:p w:rsidR="009367D1" w:rsidRPr="00E01372" w:rsidRDefault="009367D1" w:rsidP="00A16E7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B33CD" w:rsidRPr="00A16E76" w:rsidRDefault="002B33CD" w:rsidP="00A16E76">
      <w:pPr>
        <w:pStyle w:val="Textosinforma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A16E7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Fuerza, libertad e independencia, claves de Mediterráneo </w:t>
      </w:r>
    </w:p>
    <w:p w:rsidR="00A16E76" w:rsidRDefault="00A16E76" w:rsidP="00A16E7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B33CD" w:rsidRPr="00E01372" w:rsidRDefault="002B33CD" w:rsidP="00A16E7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E01372">
        <w:rPr>
          <w:rFonts w:ascii="Arial" w:hAnsi="Arial" w:cs="Arial"/>
          <w:sz w:val="24"/>
          <w:szCs w:val="24"/>
        </w:rPr>
        <w:t xml:space="preserve">Aprovechando la eclosión del mercado audiovisual, Mediaset España apostó por unir toda </w:t>
      </w:r>
      <w:r w:rsidRPr="009367D1">
        <w:rPr>
          <w:rFonts w:ascii="Arial" w:hAnsi="Arial" w:cs="Arial"/>
          <w:b/>
          <w:bCs/>
          <w:sz w:val="24"/>
          <w:szCs w:val="24"/>
        </w:rPr>
        <w:t>la fuerza de su red de productoras participadas</w:t>
      </w:r>
      <w:r w:rsidRPr="00E01372">
        <w:rPr>
          <w:rFonts w:ascii="Arial" w:hAnsi="Arial" w:cs="Arial"/>
          <w:sz w:val="24"/>
          <w:szCs w:val="24"/>
        </w:rPr>
        <w:t xml:space="preserve"> para afrontar con </w:t>
      </w:r>
      <w:r w:rsidRPr="009367D1">
        <w:rPr>
          <w:rFonts w:ascii="Arial" w:hAnsi="Arial" w:cs="Arial"/>
          <w:sz w:val="24"/>
          <w:szCs w:val="24"/>
        </w:rPr>
        <w:t>libertad e independencia el desafío de la creación y distribución</w:t>
      </w:r>
      <w:r w:rsidRPr="00E01372">
        <w:rPr>
          <w:rFonts w:ascii="Arial" w:hAnsi="Arial" w:cs="Arial"/>
          <w:sz w:val="24"/>
          <w:szCs w:val="24"/>
        </w:rPr>
        <w:t xml:space="preserve"> de todo tipo de contenidos tanto para plataformas y canales propios como ajenos. </w:t>
      </w:r>
      <w:r>
        <w:rPr>
          <w:rFonts w:ascii="Arial" w:hAnsi="Arial" w:cs="Arial"/>
          <w:sz w:val="24"/>
          <w:szCs w:val="24"/>
        </w:rPr>
        <w:t xml:space="preserve">Y es así como </w:t>
      </w:r>
      <w:r w:rsidRPr="00E01372">
        <w:rPr>
          <w:rFonts w:ascii="Arial" w:hAnsi="Arial" w:cs="Arial"/>
          <w:sz w:val="24"/>
          <w:szCs w:val="24"/>
        </w:rPr>
        <w:t xml:space="preserve">Mediaset España traslada </w:t>
      </w:r>
      <w:r>
        <w:rPr>
          <w:rFonts w:ascii="Arial" w:hAnsi="Arial" w:cs="Arial"/>
          <w:sz w:val="24"/>
          <w:szCs w:val="24"/>
        </w:rPr>
        <w:t xml:space="preserve">desde hoy </w:t>
      </w:r>
      <w:r w:rsidRPr="00E01372">
        <w:rPr>
          <w:rFonts w:ascii="Arial" w:hAnsi="Arial" w:cs="Arial"/>
          <w:sz w:val="24"/>
          <w:szCs w:val="24"/>
        </w:rPr>
        <w:t xml:space="preserve">al público la importancia estratégica de su distribuidora con el lema </w:t>
      </w:r>
      <w:r w:rsidRPr="00040992">
        <w:rPr>
          <w:rFonts w:ascii="Arial" w:hAnsi="Arial" w:cs="Arial"/>
          <w:b/>
          <w:bCs/>
          <w:sz w:val="24"/>
          <w:szCs w:val="24"/>
        </w:rPr>
        <w:t xml:space="preserve">“Siempre más fuertes, </w:t>
      </w:r>
      <w:r w:rsidR="008104CB">
        <w:rPr>
          <w:rFonts w:ascii="Arial" w:hAnsi="Arial" w:cs="Arial"/>
          <w:b/>
          <w:bCs/>
          <w:sz w:val="24"/>
          <w:szCs w:val="24"/>
        </w:rPr>
        <w:t>libres</w:t>
      </w:r>
      <w:r w:rsidRPr="00040992">
        <w:rPr>
          <w:rFonts w:ascii="Arial" w:hAnsi="Arial" w:cs="Arial"/>
          <w:b/>
          <w:bCs/>
          <w:sz w:val="24"/>
          <w:szCs w:val="24"/>
        </w:rPr>
        <w:t xml:space="preserve"> e independientes”.</w:t>
      </w:r>
    </w:p>
    <w:p w:rsidR="002B33CD" w:rsidRPr="00E01372" w:rsidRDefault="002B33CD" w:rsidP="00A16E7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B33CD" w:rsidRDefault="002B33CD" w:rsidP="00A16E7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E01372">
        <w:rPr>
          <w:rFonts w:ascii="Arial" w:hAnsi="Arial" w:cs="Arial"/>
          <w:sz w:val="24"/>
          <w:szCs w:val="24"/>
        </w:rPr>
        <w:t xml:space="preserve">Integrada por las productoras </w:t>
      </w:r>
      <w:r w:rsidRPr="009367D1">
        <w:rPr>
          <w:rFonts w:ascii="Arial" w:hAnsi="Arial" w:cs="Arial"/>
          <w:b/>
          <w:bCs/>
          <w:sz w:val="24"/>
          <w:szCs w:val="24"/>
        </w:rPr>
        <w:t xml:space="preserve">Telecinco Cinema, Alea Media, Mandarina Producciones, La Fábrica de la Tele, Bulldog, Alma Producciones, Fénix Media, </w:t>
      </w:r>
      <w:proofErr w:type="spellStart"/>
      <w:r w:rsidRPr="009367D1">
        <w:rPr>
          <w:rFonts w:ascii="Arial" w:hAnsi="Arial" w:cs="Arial"/>
          <w:b/>
          <w:bCs/>
          <w:sz w:val="24"/>
          <w:szCs w:val="24"/>
        </w:rPr>
        <w:t>Megamedia</w:t>
      </w:r>
      <w:proofErr w:type="spellEnd"/>
      <w:r w:rsidRPr="009367D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7D1">
        <w:rPr>
          <w:rFonts w:ascii="Arial" w:hAnsi="Arial" w:cs="Arial"/>
          <w:b/>
          <w:bCs/>
          <w:sz w:val="24"/>
          <w:szCs w:val="24"/>
        </w:rPr>
        <w:t>Supersport</w:t>
      </w:r>
      <w:proofErr w:type="spellEnd"/>
      <w:r w:rsidRPr="009367D1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9367D1">
        <w:rPr>
          <w:rFonts w:ascii="Arial" w:hAnsi="Arial" w:cs="Arial"/>
          <w:b/>
          <w:bCs/>
          <w:sz w:val="24"/>
          <w:szCs w:val="24"/>
        </w:rPr>
        <w:t>Eldesmarque</w:t>
      </w:r>
      <w:proofErr w:type="spellEnd"/>
      <w:r w:rsidRPr="009367D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01372">
        <w:rPr>
          <w:rFonts w:ascii="Arial" w:hAnsi="Arial" w:cs="Arial"/>
          <w:sz w:val="24"/>
          <w:szCs w:val="24"/>
        </w:rPr>
        <w:t xml:space="preserve">Mediterráneo es la suma de la creatividad, el talento, la diversidad y el éxito aportado por cada una en su género. </w:t>
      </w:r>
      <w:r w:rsidRPr="009367D1">
        <w:rPr>
          <w:rFonts w:ascii="Arial" w:hAnsi="Arial" w:cs="Arial"/>
          <w:b/>
          <w:bCs/>
          <w:sz w:val="24"/>
          <w:szCs w:val="24"/>
        </w:rPr>
        <w:t>Un catálogo líder a nivel nacional de cine, ficción, entretenimiento, deporte y formatos nativos digitales</w:t>
      </w:r>
      <w:r w:rsidRPr="00E01372">
        <w:rPr>
          <w:rFonts w:ascii="Arial" w:hAnsi="Arial" w:cs="Arial"/>
          <w:sz w:val="24"/>
          <w:szCs w:val="24"/>
        </w:rPr>
        <w:t xml:space="preserve"> que a través de esta nueva compañía Mediaset España pone a disposición de todos los nuevos agentes del sector que a lo largo de estos últimos años han ido irrumpiendo, diversificando no sólo la oferta, sino también las oportunidades de negocio.</w:t>
      </w:r>
    </w:p>
    <w:p w:rsidR="00BC3707" w:rsidRPr="00CF05E1" w:rsidRDefault="00BC3707" w:rsidP="00A16E7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C3707" w:rsidRPr="00CF05E1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284" w:rsidRDefault="00FC5284" w:rsidP="00B23904">
      <w:pPr>
        <w:spacing w:after="0" w:line="240" w:lineRule="auto"/>
      </w:pPr>
      <w:r>
        <w:separator/>
      </w:r>
    </w:p>
  </w:endnote>
  <w:endnote w:type="continuationSeparator" w:id="0">
    <w:p w:rsidR="00FC5284" w:rsidRDefault="00FC528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284" w:rsidRDefault="00FC5284" w:rsidP="00B23904">
      <w:pPr>
        <w:spacing w:after="0" w:line="240" w:lineRule="auto"/>
      </w:pPr>
      <w:r>
        <w:separator/>
      </w:r>
    </w:p>
  </w:footnote>
  <w:footnote w:type="continuationSeparator" w:id="0">
    <w:p w:rsidR="00FC5284" w:rsidRDefault="00FC528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AFB"/>
    <w:multiLevelType w:val="hybridMultilevel"/>
    <w:tmpl w:val="87DA467C"/>
    <w:lvl w:ilvl="0" w:tplc="5CA6E61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161F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AB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EA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69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67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CA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8F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C1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886"/>
    <w:multiLevelType w:val="hybridMultilevel"/>
    <w:tmpl w:val="55646CDE"/>
    <w:lvl w:ilvl="0" w:tplc="00EC9D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A3F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8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8D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8C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6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68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6F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C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59C5"/>
    <w:multiLevelType w:val="hybridMultilevel"/>
    <w:tmpl w:val="5B789722"/>
    <w:lvl w:ilvl="0" w:tplc="A2D66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6D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CBF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23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693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AC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3E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68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26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7F9F"/>
    <w:multiLevelType w:val="hybridMultilevel"/>
    <w:tmpl w:val="E79607E4"/>
    <w:lvl w:ilvl="0" w:tplc="A04C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43DEF"/>
    <w:multiLevelType w:val="hybridMultilevel"/>
    <w:tmpl w:val="757486E6"/>
    <w:lvl w:ilvl="0" w:tplc="A87AE1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AC4F6">
      <w:start w:val="15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20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9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9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2A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C6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E9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E6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69E4"/>
    <w:multiLevelType w:val="hybridMultilevel"/>
    <w:tmpl w:val="20AE3444"/>
    <w:lvl w:ilvl="0" w:tplc="A04C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8118F"/>
    <w:multiLevelType w:val="hybridMultilevel"/>
    <w:tmpl w:val="896A4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07B8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0992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02CD"/>
    <w:rsid w:val="000F6359"/>
    <w:rsid w:val="0010016D"/>
    <w:rsid w:val="00102AFC"/>
    <w:rsid w:val="00102F0B"/>
    <w:rsid w:val="00104D1A"/>
    <w:rsid w:val="0010628F"/>
    <w:rsid w:val="00107F57"/>
    <w:rsid w:val="0011131C"/>
    <w:rsid w:val="0011616B"/>
    <w:rsid w:val="001202C2"/>
    <w:rsid w:val="0012625C"/>
    <w:rsid w:val="001262F4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13CFD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85C"/>
    <w:rsid w:val="00254D79"/>
    <w:rsid w:val="002565C1"/>
    <w:rsid w:val="00256EA1"/>
    <w:rsid w:val="00261296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3CD"/>
    <w:rsid w:val="002B3425"/>
    <w:rsid w:val="002B3D92"/>
    <w:rsid w:val="002B6ADF"/>
    <w:rsid w:val="002B6FFC"/>
    <w:rsid w:val="002C40E7"/>
    <w:rsid w:val="002C4D52"/>
    <w:rsid w:val="002C6DAD"/>
    <w:rsid w:val="002C7272"/>
    <w:rsid w:val="002D16D5"/>
    <w:rsid w:val="002D1D49"/>
    <w:rsid w:val="002D414F"/>
    <w:rsid w:val="002E0EE9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423B1"/>
    <w:rsid w:val="00343CBE"/>
    <w:rsid w:val="00351210"/>
    <w:rsid w:val="00361B75"/>
    <w:rsid w:val="00365F78"/>
    <w:rsid w:val="00366BFD"/>
    <w:rsid w:val="003670CD"/>
    <w:rsid w:val="0037110C"/>
    <w:rsid w:val="00375359"/>
    <w:rsid w:val="003753E8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20A1"/>
    <w:rsid w:val="00422CC5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1B0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114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89C"/>
    <w:rsid w:val="00511A0F"/>
    <w:rsid w:val="00512672"/>
    <w:rsid w:val="005136DD"/>
    <w:rsid w:val="0051596F"/>
    <w:rsid w:val="00516FB8"/>
    <w:rsid w:val="00516FC4"/>
    <w:rsid w:val="00520190"/>
    <w:rsid w:val="00520AD5"/>
    <w:rsid w:val="005307EA"/>
    <w:rsid w:val="0053606C"/>
    <w:rsid w:val="00536FBF"/>
    <w:rsid w:val="0054094C"/>
    <w:rsid w:val="00543606"/>
    <w:rsid w:val="00545F85"/>
    <w:rsid w:val="005519E9"/>
    <w:rsid w:val="0055236D"/>
    <w:rsid w:val="0055458B"/>
    <w:rsid w:val="005548BD"/>
    <w:rsid w:val="00560502"/>
    <w:rsid w:val="00566430"/>
    <w:rsid w:val="00566AD6"/>
    <w:rsid w:val="005720B6"/>
    <w:rsid w:val="005763D0"/>
    <w:rsid w:val="00576D59"/>
    <w:rsid w:val="00577887"/>
    <w:rsid w:val="00577F10"/>
    <w:rsid w:val="0058139C"/>
    <w:rsid w:val="00582133"/>
    <w:rsid w:val="005828E8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073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139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A1A"/>
    <w:rsid w:val="006C6E40"/>
    <w:rsid w:val="006D5CE1"/>
    <w:rsid w:val="006E2F0B"/>
    <w:rsid w:val="006E3B24"/>
    <w:rsid w:val="006E4DCC"/>
    <w:rsid w:val="006E54A2"/>
    <w:rsid w:val="006E707B"/>
    <w:rsid w:val="006F3E46"/>
    <w:rsid w:val="006F406F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67152"/>
    <w:rsid w:val="007701FD"/>
    <w:rsid w:val="0077200B"/>
    <w:rsid w:val="00775149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7E2"/>
    <w:rsid w:val="007F2FD5"/>
    <w:rsid w:val="007F5B92"/>
    <w:rsid w:val="007F7AED"/>
    <w:rsid w:val="008104CB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50D0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E78"/>
    <w:rsid w:val="0089094A"/>
    <w:rsid w:val="0089220B"/>
    <w:rsid w:val="00893593"/>
    <w:rsid w:val="00894BD0"/>
    <w:rsid w:val="008A226B"/>
    <w:rsid w:val="008B2E6B"/>
    <w:rsid w:val="008B42BE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05E19"/>
    <w:rsid w:val="00913C06"/>
    <w:rsid w:val="00915C98"/>
    <w:rsid w:val="00917841"/>
    <w:rsid w:val="009211C4"/>
    <w:rsid w:val="00922D65"/>
    <w:rsid w:val="009268C4"/>
    <w:rsid w:val="00930D26"/>
    <w:rsid w:val="00932E20"/>
    <w:rsid w:val="009367D1"/>
    <w:rsid w:val="00952E8D"/>
    <w:rsid w:val="00956F81"/>
    <w:rsid w:val="0095749D"/>
    <w:rsid w:val="009613D2"/>
    <w:rsid w:val="00965865"/>
    <w:rsid w:val="009679EB"/>
    <w:rsid w:val="00970A89"/>
    <w:rsid w:val="00971BAF"/>
    <w:rsid w:val="009764B6"/>
    <w:rsid w:val="00977A56"/>
    <w:rsid w:val="009A78DA"/>
    <w:rsid w:val="009B05A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19F3"/>
    <w:rsid w:val="009E2E2E"/>
    <w:rsid w:val="009E3B77"/>
    <w:rsid w:val="009E4402"/>
    <w:rsid w:val="009E4DBC"/>
    <w:rsid w:val="009E6C4F"/>
    <w:rsid w:val="009E6D7C"/>
    <w:rsid w:val="009F1F72"/>
    <w:rsid w:val="009F72A5"/>
    <w:rsid w:val="00A016BE"/>
    <w:rsid w:val="00A0433B"/>
    <w:rsid w:val="00A06177"/>
    <w:rsid w:val="00A06AC5"/>
    <w:rsid w:val="00A06B28"/>
    <w:rsid w:val="00A12171"/>
    <w:rsid w:val="00A16AD6"/>
    <w:rsid w:val="00A16E76"/>
    <w:rsid w:val="00A23006"/>
    <w:rsid w:val="00A25CA3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07CF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97E69"/>
    <w:rsid w:val="00AA68FB"/>
    <w:rsid w:val="00AA69BD"/>
    <w:rsid w:val="00AB0BC7"/>
    <w:rsid w:val="00AB5588"/>
    <w:rsid w:val="00AC4F38"/>
    <w:rsid w:val="00AC5A05"/>
    <w:rsid w:val="00AC5D98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279BB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2B1D"/>
    <w:rsid w:val="00BA65AD"/>
    <w:rsid w:val="00BB09B6"/>
    <w:rsid w:val="00BB0D43"/>
    <w:rsid w:val="00BB5AD2"/>
    <w:rsid w:val="00BB7D73"/>
    <w:rsid w:val="00BC27C4"/>
    <w:rsid w:val="00BC3707"/>
    <w:rsid w:val="00BC647E"/>
    <w:rsid w:val="00BD413F"/>
    <w:rsid w:val="00BD6096"/>
    <w:rsid w:val="00BD613C"/>
    <w:rsid w:val="00BE12AC"/>
    <w:rsid w:val="00BE71F9"/>
    <w:rsid w:val="00BF0FE5"/>
    <w:rsid w:val="00BF261C"/>
    <w:rsid w:val="00BF3D5F"/>
    <w:rsid w:val="00C028BF"/>
    <w:rsid w:val="00C02B7F"/>
    <w:rsid w:val="00C03A0F"/>
    <w:rsid w:val="00C04707"/>
    <w:rsid w:val="00C05590"/>
    <w:rsid w:val="00C0746A"/>
    <w:rsid w:val="00C10669"/>
    <w:rsid w:val="00C10FFA"/>
    <w:rsid w:val="00C12898"/>
    <w:rsid w:val="00C136F3"/>
    <w:rsid w:val="00C16919"/>
    <w:rsid w:val="00C1718D"/>
    <w:rsid w:val="00C17B05"/>
    <w:rsid w:val="00C20BE1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5740A"/>
    <w:rsid w:val="00C62A7E"/>
    <w:rsid w:val="00C7188C"/>
    <w:rsid w:val="00C71EA6"/>
    <w:rsid w:val="00C746AC"/>
    <w:rsid w:val="00C777B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05E1"/>
    <w:rsid w:val="00CF0833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0D6E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48BF"/>
    <w:rsid w:val="00DC6F38"/>
    <w:rsid w:val="00DD030C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2"/>
    <w:rsid w:val="00E0137D"/>
    <w:rsid w:val="00E041D4"/>
    <w:rsid w:val="00E0477D"/>
    <w:rsid w:val="00E05D9B"/>
    <w:rsid w:val="00E05E8C"/>
    <w:rsid w:val="00E16851"/>
    <w:rsid w:val="00E1728C"/>
    <w:rsid w:val="00E23201"/>
    <w:rsid w:val="00E2473D"/>
    <w:rsid w:val="00E25B95"/>
    <w:rsid w:val="00E25C92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003F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2C12"/>
    <w:rsid w:val="00EE5926"/>
    <w:rsid w:val="00EE714F"/>
    <w:rsid w:val="00EF1AE8"/>
    <w:rsid w:val="00EF4191"/>
    <w:rsid w:val="00EF598F"/>
    <w:rsid w:val="00EF76EF"/>
    <w:rsid w:val="00EF7C4A"/>
    <w:rsid w:val="00F0088B"/>
    <w:rsid w:val="00F016BD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3581B"/>
    <w:rsid w:val="00F40096"/>
    <w:rsid w:val="00F40147"/>
    <w:rsid w:val="00F40421"/>
    <w:rsid w:val="00F54B00"/>
    <w:rsid w:val="00F60552"/>
    <w:rsid w:val="00F65930"/>
    <w:rsid w:val="00F70464"/>
    <w:rsid w:val="00F70B6A"/>
    <w:rsid w:val="00F7534D"/>
    <w:rsid w:val="00F775CD"/>
    <w:rsid w:val="00F82CA7"/>
    <w:rsid w:val="00F84D35"/>
    <w:rsid w:val="00F85389"/>
    <w:rsid w:val="00F8648A"/>
    <w:rsid w:val="00F86580"/>
    <w:rsid w:val="00F86F86"/>
    <w:rsid w:val="00F904FE"/>
    <w:rsid w:val="00F9177A"/>
    <w:rsid w:val="00F91BEB"/>
    <w:rsid w:val="00F941DB"/>
    <w:rsid w:val="00F9442E"/>
    <w:rsid w:val="00F978E7"/>
    <w:rsid w:val="00FA08C1"/>
    <w:rsid w:val="00FA0F4C"/>
    <w:rsid w:val="00FA21C8"/>
    <w:rsid w:val="00FA2C32"/>
    <w:rsid w:val="00FA515E"/>
    <w:rsid w:val="00FA545E"/>
    <w:rsid w:val="00FA5D69"/>
    <w:rsid w:val="00FB280E"/>
    <w:rsid w:val="00FB3420"/>
    <w:rsid w:val="00FB349D"/>
    <w:rsid w:val="00FB3978"/>
    <w:rsid w:val="00FB7B0B"/>
    <w:rsid w:val="00FB7DD5"/>
    <w:rsid w:val="00FB7F8D"/>
    <w:rsid w:val="00FC3966"/>
    <w:rsid w:val="00FC42A2"/>
    <w:rsid w:val="00FC42CF"/>
    <w:rsid w:val="00FC5284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7BA16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05E1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E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E1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3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9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334D-6A5C-470E-99DF-9943C96E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</cp:revision>
  <cp:lastPrinted>2020-03-09T09:59:00Z</cp:lastPrinted>
  <dcterms:created xsi:type="dcterms:W3CDTF">2020-06-22T11:38:00Z</dcterms:created>
  <dcterms:modified xsi:type="dcterms:W3CDTF">2020-06-22T12:13:00Z</dcterms:modified>
</cp:coreProperties>
</file>