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1C0" w:rsidRPr="00A401C0" w:rsidRDefault="00A401C0" w:rsidP="00A401C0">
      <w:pPr>
        <w:pBdr>
          <w:bottom w:val="single" w:sz="4" w:space="1" w:color="auto"/>
        </w:pBdr>
        <w:ind w:left="567"/>
        <w:jc w:val="both"/>
        <w:rPr>
          <w:rFonts w:ascii="Arial Narrow" w:hAnsi="Arial Narrow"/>
          <w:b/>
          <w:sz w:val="28"/>
          <w:szCs w:val="28"/>
        </w:rPr>
      </w:pPr>
      <w:bookmarkStart w:id="0" w:name="_GoBack"/>
      <w:bookmarkEnd w:id="0"/>
      <w:r w:rsidRPr="00A401C0">
        <w:rPr>
          <w:rFonts w:ascii="Arial Narrow" w:hAnsi="Arial Narrow"/>
          <w:b/>
          <w:sz w:val="28"/>
          <w:szCs w:val="28"/>
        </w:rPr>
        <w:t>TERRITORIOS QUE PASAN A LA FASE 1</w:t>
      </w:r>
    </w:p>
    <w:p w:rsidR="00A401C0" w:rsidRPr="00776565" w:rsidRDefault="00A401C0" w:rsidP="00A401C0">
      <w:pPr>
        <w:pStyle w:val="Prrafodelista"/>
        <w:numPr>
          <w:ilvl w:val="0"/>
          <w:numId w:val="4"/>
        </w:numPr>
        <w:jc w:val="both"/>
        <w:rPr>
          <w:rFonts w:ascii="Arial Narrow" w:hAnsi="Arial Narrow"/>
          <w:sz w:val="26"/>
          <w:szCs w:val="26"/>
        </w:rPr>
      </w:pPr>
      <w:r w:rsidRPr="00776565">
        <w:rPr>
          <w:rFonts w:ascii="Arial Narrow" w:hAnsi="Arial Narrow"/>
          <w:b/>
          <w:sz w:val="26"/>
          <w:szCs w:val="26"/>
        </w:rPr>
        <w:t>Andalucía:</w:t>
      </w:r>
      <w:r w:rsidRPr="00776565">
        <w:rPr>
          <w:rFonts w:ascii="Arial Narrow" w:hAnsi="Arial Narrow"/>
          <w:sz w:val="26"/>
          <w:szCs w:val="26"/>
        </w:rPr>
        <w:t xml:space="preserve"> Almería, Cádiz, Córdoba, Huelva, Jaén y Sevilla</w:t>
      </w:r>
      <w:r w:rsidR="00FB718C" w:rsidRPr="00776565">
        <w:rPr>
          <w:rFonts w:ascii="Arial Narrow" w:hAnsi="Arial Narrow"/>
          <w:sz w:val="26"/>
          <w:szCs w:val="26"/>
        </w:rPr>
        <w:t>.</w:t>
      </w:r>
    </w:p>
    <w:p w:rsidR="00A401C0" w:rsidRPr="00776565" w:rsidRDefault="00A401C0" w:rsidP="00A401C0">
      <w:pPr>
        <w:pStyle w:val="Prrafodelista"/>
        <w:numPr>
          <w:ilvl w:val="0"/>
          <w:numId w:val="4"/>
        </w:numPr>
        <w:jc w:val="both"/>
        <w:rPr>
          <w:rFonts w:ascii="Arial Narrow" w:hAnsi="Arial Narrow"/>
          <w:sz w:val="26"/>
          <w:szCs w:val="26"/>
        </w:rPr>
      </w:pPr>
      <w:r w:rsidRPr="00776565">
        <w:rPr>
          <w:rFonts w:ascii="Arial Narrow" w:hAnsi="Arial Narrow"/>
          <w:b/>
          <w:sz w:val="26"/>
          <w:szCs w:val="26"/>
        </w:rPr>
        <w:t>Aragón:</w:t>
      </w:r>
      <w:r w:rsidRPr="00776565">
        <w:rPr>
          <w:rFonts w:ascii="Arial Narrow" w:hAnsi="Arial Narrow"/>
          <w:sz w:val="26"/>
          <w:szCs w:val="26"/>
        </w:rPr>
        <w:t xml:space="preserve"> Huesca, Teruel y Zaragoza</w:t>
      </w:r>
      <w:r w:rsidR="00FB718C" w:rsidRPr="00776565">
        <w:rPr>
          <w:rFonts w:ascii="Arial Narrow" w:hAnsi="Arial Narrow"/>
          <w:sz w:val="26"/>
          <w:szCs w:val="26"/>
        </w:rPr>
        <w:t>.</w:t>
      </w:r>
    </w:p>
    <w:p w:rsidR="00A401C0" w:rsidRPr="00776565" w:rsidRDefault="00A401C0" w:rsidP="00A401C0">
      <w:pPr>
        <w:pStyle w:val="Prrafodelista"/>
        <w:numPr>
          <w:ilvl w:val="0"/>
          <w:numId w:val="4"/>
        </w:numPr>
        <w:jc w:val="both"/>
        <w:rPr>
          <w:rFonts w:ascii="Arial Narrow" w:hAnsi="Arial Narrow"/>
          <w:b/>
          <w:sz w:val="26"/>
          <w:szCs w:val="26"/>
        </w:rPr>
      </w:pPr>
      <w:r w:rsidRPr="00776565">
        <w:rPr>
          <w:rFonts w:ascii="Arial Narrow" w:hAnsi="Arial Narrow"/>
          <w:b/>
          <w:sz w:val="26"/>
          <w:szCs w:val="26"/>
        </w:rPr>
        <w:t>Asturias</w:t>
      </w:r>
    </w:p>
    <w:p w:rsidR="00A401C0" w:rsidRPr="00776565" w:rsidRDefault="00A401C0" w:rsidP="00A401C0">
      <w:pPr>
        <w:pStyle w:val="Prrafodelista"/>
        <w:numPr>
          <w:ilvl w:val="0"/>
          <w:numId w:val="4"/>
        </w:numPr>
        <w:jc w:val="both"/>
        <w:rPr>
          <w:rFonts w:ascii="Arial Narrow" w:hAnsi="Arial Narrow"/>
          <w:sz w:val="26"/>
          <w:szCs w:val="26"/>
        </w:rPr>
      </w:pPr>
      <w:r w:rsidRPr="00776565">
        <w:rPr>
          <w:rFonts w:ascii="Arial Narrow" w:hAnsi="Arial Narrow"/>
          <w:b/>
          <w:sz w:val="26"/>
          <w:szCs w:val="26"/>
        </w:rPr>
        <w:t>Baleares</w:t>
      </w:r>
      <w:r w:rsidR="00776565" w:rsidRPr="00776565">
        <w:rPr>
          <w:rFonts w:ascii="Arial Narrow" w:hAnsi="Arial Narrow"/>
          <w:b/>
          <w:sz w:val="26"/>
          <w:szCs w:val="26"/>
        </w:rPr>
        <w:t>*</w:t>
      </w:r>
      <w:r w:rsidRPr="00776565">
        <w:rPr>
          <w:rFonts w:ascii="Arial Narrow" w:hAnsi="Arial Narrow"/>
          <w:b/>
          <w:sz w:val="26"/>
          <w:szCs w:val="26"/>
        </w:rPr>
        <w:t>:</w:t>
      </w:r>
      <w:r w:rsidRPr="00776565">
        <w:rPr>
          <w:rFonts w:ascii="Arial Narrow" w:hAnsi="Arial Narrow"/>
          <w:sz w:val="26"/>
          <w:szCs w:val="26"/>
        </w:rPr>
        <w:t xml:space="preserve"> Ibiza, Menorca y Mallorca</w:t>
      </w:r>
      <w:r w:rsidR="00FB718C" w:rsidRPr="00776565">
        <w:rPr>
          <w:rFonts w:ascii="Arial Narrow" w:hAnsi="Arial Narrow"/>
          <w:sz w:val="26"/>
          <w:szCs w:val="26"/>
        </w:rPr>
        <w:t>.</w:t>
      </w:r>
    </w:p>
    <w:p w:rsidR="00A401C0" w:rsidRPr="00776565" w:rsidRDefault="00A401C0" w:rsidP="00A401C0">
      <w:pPr>
        <w:pStyle w:val="Prrafodelista"/>
        <w:numPr>
          <w:ilvl w:val="0"/>
          <w:numId w:val="4"/>
        </w:numPr>
        <w:jc w:val="both"/>
        <w:rPr>
          <w:rFonts w:ascii="Arial Narrow" w:hAnsi="Arial Narrow"/>
          <w:sz w:val="26"/>
          <w:szCs w:val="26"/>
        </w:rPr>
      </w:pPr>
      <w:r w:rsidRPr="00776565">
        <w:rPr>
          <w:rFonts w:ascii="Arial Narrow" w:hAnsi="Arial Narrow"/>
          <w:b/>
          <w:sz w:val="26"/>
          <w:szCs w:val="26"/>
        </w:rPr>
        <w:t>Canarias</w:t>
      </w:r>
      <w:r w:rsidR="00776565" w:rsidRPr="00776565">
        <w:rPr>
          <w:rFonts w:ascii="Arial Narrow" w:hAnsi="Arial Narrow"/>
          <w:b/>
          <w:sz w:val="26"/>
          <w:szCs w:val="26"/>
        </w:rPr>
        <w:t>**</w:t>
      </w:r>
      <w:r w:rsidRPr="00776565">
        <w:rPr>
          <w:rFonts w:ascii="Arial Narrow" w:hAnsi="Arial Narrow"/>
          <w:b/>
          <w:sz w:val="26"/>
          <w:szCs w:val="26"/>
        </w:rPr>
        <w:t>:</w:t>
      </w:r>
      <w:r w:rsidRPr="00776565">
        <w:rPr>
          <w:rFonts w:ascii="Arial Narrow" w:hAnsi="Arial Narrow"/>
          <w:sz w:val="26"/>
          <w:szCs w:val="26"/>
        </w:rPr>
        <w:t xml:space="preserve"> Tenerife, Gran Canaria, Lanzarote, Fuerteventura y La Palma</w:t>
      </w:r>
      <w:r w:rsidR="00FB718C" w:rsidRPr="00776565">
        <w:rPr>
          <w:rFonts w:ascii="Arial Narrow" w:hAnsi="Arial Narrow"/>
          <w:sz w:val="26"/>
          <w:szCs w:val="26"/>
        </w:rPr>
        <w:t>.</w:t>
      </w:r>
    </w:p>
    <w:p w:rsidR="00A401C0" w:rsidRPr="00776565" w:rsidRDefault="00A401C0" w:rsidP="00A401C0">
      <w:pPr>
        <w:pStyle w:val="Prrafodelista"/>
        <w:numPr>
          <w:ilvl w:val="0"/>
          <w:numId w:val="4"/>
        </w:numPr>
        <w:jc w:val="both"/>
        <w:rPr>
          <w:rFonts w:ascii="Arial Narrow" w:hAnsi="Arial Narrow"/>
          <w:b/>
          <w:sz w:val="26"/>
          <w:szCs w:val="26"/>
        </w:rPr>
      </w:pPr>
      <w:r w:rsidRPr="00776565">
        <w:rPr>
          <w:rFonts w:ascii="Arial Narrow" w:hAnsi="Arial Narrow"/>
          <w:b/>
          <w:sz w:val="26"/>
          <w:szCs w:val="26"/>
        </w:rPr>
        <w:t>Cantabria</w:t>
      </w:r>
    </w:p>
    <w:p w:rsidR="00A401C0" w:rsidRPr="00776565" w:rsidRDefault="00A401C0" w:rsidP="00A401C0">
      <w:pPr>
        <w:pStyle w:val="Prrafodelista"/>
        <w:numPr>
          <w:ilvl w:val="0"/>
          <w:numId w:val="4"/>
        </w:numPr>
        <w:jc w:val="both"/>
        <w:rPr>
          <w:rFonts w:ascii="Arial Narrow" w:hAnsi="Arial Narrow"/>
          <w:sz w:val="26"/>
          <w:szCs w:val="26"/>
        </w:rPr>
      </w:pPr>
      <w:r w:rsidRPr="00776565">
        <w:rPr>
          <w:rFonts w:ascii="Arial Narrow" w:hAnsi="Arial Narrow"/>
          <w:b/>
          <w:sz w:val="26"/>
          <w:szCs w:val="26"/>
        </w:rPr>
        <w:t>Castilla y León:</w:t>
      </w:r>
      <w:r w:rsidRPr="00776565">
        <w:rPr>
          <w:rFonts w:ascii="Arial Narrow" w:hAnsi="Arial Narrow"/>
          <w:sz w:val="26"/>
          <w:szCs w:val="26"/>
        </w:rPr>
        <w:t xml:space="preserve"> las </w:t>
      </w:r>
      <w:r w:rsidR="006D733A">
        <w:rPr>
          <w:rFonts w:ascii="Arial Narrow" w:hAnsi="Arial Narrow"/>
          <w:sz w:val="26"/>
          <w:szCs w:val="26"/>
        </w:rPr>
        <w:t>zonas</w:t>
      </w:r>
      <w:r w:rsidRPr="00776565">
        <w:rPr>
          <w:rFonts w:ascii="Arial Narrow" w:hAnsi="Arial Narrow"/>
          <w:sz w:val="26"/>
          <w:szCs w:val="26"/>
        </w:rPr>
        <w:t xml:space="preserve"> básicas de salud de Muñico (Ávila), Sedano (Burgos), Valle de Losa (Burgos), Truchas (León), Matallana de Torio (León), Riaño (León), Torquemada (Palencia), Robleda (Salamanca), Alaejos (Valladolid), Mayorga de Campos (Valladolid), Alta Sanabria (Zamora), Carbajales de Alba (Zamora), Tábara (Zamora), Quintanar de la Sierra (Burgos), Espinosa de los Monteros (Burgos), Pampliega (Burgos), Valle de Mena (Burgos), Aldeadavila de la Ribera (Salamanca), Lumbrales (Salamanca), Miranda del Castañar (salamanca), San Pedro Manrique (Soria), Esguevillas de Esgueva (Valladolid), Santibañez de Vidriales (Zamora), Alcañices (Zamora), Corrales del Vino (Zamora) y Villalpando (Z</w:t>
      </w:r>
      <w:r w:rsidR="00FB718C" w:rsidRPr="00776565">
        <w:rPr>
          <w:rFonts w:ascii="Arial Narrow" w:hAnsi="Arial Narrow"/>
          <w:sz w:val="26"/>
          <w:szCs w:val="26"/>
        </w:rPr>
        <w:t>amora).</w:t>
      </w:r>
    </w:p>
    <w:p w:rsidR="00A401C0" w:rsidRPr="00776565" w:rsidRDefault="00A401C0" w:rsidP="00A401C0">
      <w:pPr>
        <w:pStyle w:val="Prrafodelista"/>
        <w:numPr>
          <w:ilvl w:val="0"/>
          <w:numId w:val="4"/>
        </w:numPr>
        <w:jc w:val="both"/>
        <w:rPr>
          <w:rFonts w:ascii="Arial Narrow" w:hAnsi="Arial Narrow"/>
          <w:sz w:val="26"/>
          <w:szCs w:val="26"/>
        </w:rPr>
      </w:pPr>
      <w:r w:rsidRPr="00776565">
        <w:rPr>
          <w:rFonts w:ascii="Arial Narrow" w:hAnsi="Arial Narrow"/>
          <w:b/>
          <w:sz w:val="26"/>
          <w:szCs w:val="26"/>
        </w:rPr>
        <w:t>Castilla-La Mancha:</w:t>
      </w:r>
      <w:r w:rsidRPr="00776565">
        <w:rPr>
          <w:rFonts w:ascii="Arial Narrow" w:hAnsi="Arial Narrow"/>
          <w:sz w:val="26"/>
          <w:szCs w:val="26"/>
        </w:rPr>
        <w:t xml:space="preserve"> Guadalajara y Cuenca</w:t>
      </w:r>
      <w:r w:rsidR="00FB718C" w:rsidRPr="00776565">
        <w:rPr>
          <w:rFonts w:ascii="Arial Narrow" w:hAnsi="Arial Narrow"/>
          <w:sz w:val="26"/>
          <w:szCs w:val="26"/>
        </w:rPr>
        <w:t>.</w:t>
      </w:r>
    </w:p>
    <w:p w:rsidR="00A401C0" w:rsidRPr="00776565" w:rsidRDefault="00FB718C" w:rsidP="00A401C0">
      <w:pPr>
        <w:pStyle w:val="Prrafodelista"/>
        <w:numPr>
          <w:ilvl w:val="0"/>
          <w:numId w:val="4"/>
        </w:numPr>
        <w:jc w:val="both"/>
        <w:rPr>
          <w:rFonts w:ascii="Arial Narrow" w:hAnsi="Arial Narrow"/>
          <w:sz w:val="26"/>
          <w:szCs w:val="26"/>
        </w:rPr>
      </w:pPr>
      <w:r w:rsidRPr="00776565">
        <w:rPr>
          <w:rFonts w:ascii="Arial Narrow" w:hAnsi="Arial Narrow"/>
          <w:b/>
          <w:sz w:val="26"/>
          <w:szCs w:val="26"/>
        </w:rPr>
        <w:t>Cataluña:</w:t>
      </w:r>
      <w:r w:rsidRPr="00776565">
        <w:rPr>
          <w:rFonts w:ascii="Arial Narrow" w:hAnsi="Arial Narrow"/>
          <w:sz w:val="26"/>
          <w:szCs w:val="26"/>
        </w:rPr>
        <w:t xml:space="preserve"> las </w:t>
      </w:r>
      <w:r w:rsidR="006E2CB8">
        <w:rPr>
          <w:rFonts w:ascii="Arial Narrow" w:hAnsi="Arial Narrow"/>
          <w:sz w:val="26"/>
          <w:szCs w:val="26"/>
        </w:rPr>
        <w:t>zonas</w:t>
      </w:r>
      <w:r w:rsidRPr="00776565">
        <w:rPr>
          <w:rFonts w:ascii="Arial Narrow" w:hAnsi="Arial Narrow"/>
          <w:sz w:val="26"/>
          <w:szCs w:val="26"/>
        </w:rPr>
        <w:t xml:space="preserve"> sanitarias</w:t>
      </w:r>
      <w:r w:rsidR="00A401C0" w:rsidRPr="00776565">
        <w:rPr>
          <w:rFonts w:ascii="Arial Narrow" w:hAnsi="Arial Narrow"/>
          <w:sz w:val="26"/>
          <w:szCs w:val="26"/>
        </w:rPr>
        <w:t xml:space="preserve"> de Terres de l’Ebre (Tarragona), Camp de Tarragona (Tarragona) y Alt Pirineu-Aran (Lleida)</w:t>
      </w:r>
      <w:r w:rsidRPr="00776565">
        <w:rPr>
          <w:rFonts w:ascii="Arial Narrow" w:hAnsi="Arial Narrow"/>
          <w:sz w:val="26"/>
          <w:szCs w:val="26"/>
        </w:rPr>
        <w:t>.</w:t>
      </w:r>
    </w:p>
    <w:p w:rsidR="00A401C0" w:rsidRPr="00776565" w:rsidRDefault="00A401C0" w:rsidP="00A401C0">
      <w:pPr>
        <w:pStyle w:val="Prrafodelista"/>
        <w:numPr>
          <w:ilvl w:val="0"/>
          <w:numId w:val="4"/>
        </w:numPr>
        <w:jc w:val="both"/>
        <w:rPr>
          <w:rFonts w:ascii="Arial Narrow" w:hAnsi="Arial Narrow"/>
          <w:sz w:val="26"/>
          <w:szCs w:val="26"/>
        </w:rPr>
      </w:pPr>
      <w:r w:rsidRPr="00776565">
        <w:rPr>
          <w:rFonts w:ascii="Arial Narrow" w:hAnsi="Arial Narrow"/>
          <w:b/>
          <w:sz w:val="26"/>
          <w:szCs w:val="26"/>
        </w:rPr>
        <w:t>Comunidad Valenciana</w:t>
      </w:r>
      <w:r w:rsidRPr="00776565">
        <w:rPr>
          <w:rFonts w:ascii="Arial Narrow" w:hAnsi="Arial Narrow"/>
          <w:sz w:val="26"/>
          <w:szCs w:val="26"/>
        </w:rPr>
        <w:t xml:space="preserve">: </w:t>
      </w:r>
      <w:r w:rsidR="006E2CB8">
        <w:rPr>
          <w:rFonts w:ascii="Arial Narrow" w:hAnsi="Arial Narrow"/>
          <w:sz w:val="26"/>
          <w:szCs w:val="26"/>
        </w:rPr>
        <w:t>los departamentos sanitario</w:t>
      </w:r>
      <w:r w:rsidR="00FB718C" w:rsidRPr="00776565">
        <w:rPr>
          <w:rFonts w:ascii="Arial Narrow" w:hAnsi="Arial Narrow"/>
          <w:sz w:val="26"/>
          <w:szCs w:val="26"/>
        </w:rPr>
        <w:t>s</w:t>
      </w:r>
      <w:r w:rsidRPr="00776565">
        <w:rPr>
          <w:rFonts w:ascii="Arial Narrow" w:hAnsi="Arial Narrow"/>
          <w:sz w:val="26"/>
          <w:szCs w:val="26"/>
        </w:rPr>
        <w:t xml:space="preserve"> de Vinaròs (Castellón), Requena (Valencia), Xàtiva-Ontinyent (Valencia), Gandia (Valencia), Alcoy (Alicante), Dénia (Alicante), La Marina Baixa (Alicante), Elda (Alicante), Orihuela (Alicante) y Torrevieja (Alicante).</w:t>
      </w:r>
    </w:p>
    <w:p w:rsidR="00A401C0" w:rsidRPr="00776565" w:rsidRDefault="00A401C0" w:rsidP="00A401C0">
      <w:pPr>
        <w:pStyle w:val="Prrafodelista"/>
        <w:numPr>
          <w:ilvl w:val="0"/>
          <w:numId w:val="4"/>
        </w:numPr>
        <w:jc w:val="both"/>
        <w:rPr>
          <w:rFonts w:ascii="Arial Narrow" w:hAnsi="Arial Narrow"/>
          <w:b/>
          <w:sz w:val="26"/>
          <w:szCs w:val="26"/>
        </w:rPr>
      </w:pPr>
      <w:r w:rsidRPr="00776565">
        <w:rPr>
          <w:rFonts w:ascii="Arial Narrow" w:hAnsi="Arial Narrow"/>
          <w:b/>
          <w:sz w:val="26"/>
          <w:szCs w:val="26"/>
        </w:rPr>
        <w:t>Ceuta</w:t>
      </w:r>
    </w:p>
    <w:p w:rsidR="00A401C0" w:rsidRPr="00776565" w:rsidRDefault="00A401C0" w:rsidP="00A401C0">
      <w:pPr>
        <w:pStyle w:val="Prrafodelista"/>
        <w:numPr>
          <w:ilvl w:val="0"/>
          <w:numId w:val="4"/>
        </w:numPr>
        <w:jc w:val="both"/>
        <w:rPr>
          <w:rFonts w:ascii="Arial Narrow" w:hAnsi="Arial Narrow"/>
          <w:sz w:val="26"/>
          <w:szCs w:val="26"/>
        </w:rPr>
      </w:pPr>
      <w:r w:rsidRPr="00776565">
        <w:rPr>
          <w:rFonts w:ascii="Arial Narrow" w:hAnsi="Arial Narrow"/>
          <w:b/>
          <w:sz w:val="26"/>
          <w:szCs w:val="26"/>
        </w:rPr>
        <w:t xml:space="preserve">Extremadura: </w:t>
      </w:r>
      <w:r w:rsidRPr="00776565">
        <w:rPr>
          <w:rFonts w:ascii="Arial Narrow" w:hAnsi="Arial Narrow"/>
          <w:sz w:val="26"/>
          <w:szCs w:val="26"/>
        </w:rPr>
        <w:t>Cáceres y Badajoz</w:t>
      </w:r>
      <w:r w:rsidR="00FB718C" w:rsidRPr="00776565">
        <w:rPr>
          <w:rFonts w:ascii="Arial Narrow" w:hAnsi="Arial Narrow"/>
          <w:sz w:val="26"/>
          <w:szCs w:val="26"/>
        </w:rPr>
        <w:t>.</w:t>
      </w:r>
    </w:p>
    <w:p w:rsidR="00A401C0" w:rsidRPr="00776565" w:rsidRDefault="00A401C0" w:rsidP="00A401C0">
      <w:pPr>
        <w:pStyle w:val="Prrafodelista"/>
        <w:numPr>
          <w:ilvl w:val="0"/>
          <w:numId w:val="4"/>
        </w:numPr>
        <w:jc w:val="both"/>
        <w:rPr>
          <w:rFonts w:ascii="Arial Narrow" w:hAnsi="Arial Narrow"/>
          <w:sz w:val="26"/>
          <w:szCs w:val="26"/>
        </w:rPr>
      </w:pPr>
      <w:r w:rsidRPr="00776565">
        <w:rPr>
          <w:rFonts w:ascii="Arial Narrow" w:hAnsi="Arial Narrow"/>
          <w:b/>
          <w:sz w:val="26"/>
          <w:szCs w:val="26"/>
        </w:rPr>
        <w:t xml:space="preserve">Galicia: </w:t>
      </w:r>
      <w:r w:rsidRPr="00776565">
        <w:rPr>
          <w:rFonts w:ascii="Arial Narrow" w:hAnsi="Arial Narrow"/>
          <w:sz w:val="26"/>
          <w:szCs w:val="26"/>
        </w:rPr>
        <w:t>A Coruña, Lugo, Orense y Po</w:t>
      </w:r>
      <w:r w:rsidR="00FB718C" w:rsidRPr="00776565">
        <w:rPr>
          <w:rFonts w:ascii="Arial Narrow" w:hAnsi="Arial Narrow"/>
          <w:sz w:val="26"/>
          <w:szCs w:val="26"/>
        </w:rPr>
        <w:t>ntevedra.</w:t>
      </w:r>
    </w:p>
    <w:p w:rsidR="00A401C0" w:rsidRPr="00776565" w:rsidRDefault="00A401C0" w:rsidP="00A401C0">
      <w:pPr>
        <w:pStyle w:val="Prrafodelista"/>
        <w:numPr>
          <w:ilvl w:val="0"/>
          <w:numId w:val="4"/>
        </w:numPr>
        <w:jc w:val="both"/>
        <w:rPr>
          <w:rFonts w:ascii="Arial Narrow" w:hAnsi="Arial Narrow"/>
          <w:b/>
          <w:sz w:val="26"/>
          <w:szCs w:val="26"/>
        </w:rPr>
      </w:pPr>
      <w:r w:rsidRPr="00776565">
        <w:rPr>
          <w:rFonts w:ascii="Arial Narrow" w:hAnsi="Arial Narrow"/>
          <w:b/>
          <w:sz w:val="26"/>
          <w:szCs w:val="26"/>
        </w:rPr>
        <w:t>La Rioja</w:t>
      </w:r>
    </w:p>
    <w:p w:rsidR="00A401C0" w:rsidRPr="00776565" w:rsidRDefault="00A401C0" w:rsidP="00A401C0">
      <w:pPr>
        <w:pStyle w:val="Prrafodelista"/>
        <w:numPr>
          <w:ilvl w:val="0"/>
          <w:numId w:val="4"/>
        </w:numPr>
        <w:jc w:val="both"/>
        <w:rPr>
          <w:rFonts w:ascii="Arial Narrow" w:hAnsi="Arial Narrow"/>
          <w:b/>
          <w:sz w:val="26"/>
          <w:szCs w:val="26"/>
        </w:rPr>
      </w:pPr>
      <w:r w:rsidRPr="00776565">
        <w:rPr>
          <w:rFonts w:ascii="Arial Narrow" w:hAnsi="Arial Narrow"/>
          <w:b/>
          <w:sz w:val="26"/>
          <w:szCs w:val="26"/>
        </w:rPr>
        <w:t>Melilla</w:t>
      </w:r>
    </w:p>
    <w:p w:rsidR="00A401C0" w:rsidRPr="00776565" w:rsidRDefault="00A401C0" w:rsidP="00A401C0">
      <w:pPr>
        <w:pStyle w:val="Prrafodelista"/>
        <w:numPr>
          <w:ilvl w:val="0"/>
          <w:numId w:val="4"/>
        </w:numPr>
        <w:jc w:val="both"/>
        <w:rPr>
          <w:rFonts w:ascii="Arial Narrow" w:hAnsi="Arial Narrow"/>
          <w:b/>
          <w:sz w:val="26"/>
          <w:szCs w:val="26"/>
        </w:rPr>
      </w:pPr>
      <w:r w:rsidRPr="00776565">
        <w:rPr>
          <w:rFonts w:ascii="Arial Narrow" w:hAnsi="Arial Narrow"/>
          <w:b/>
          <w:sz w:val="26"/>
          <w:szCs w:val="26"/>
        </w:rPr>
        <w:t>Murcia</w:t>
      </w:r>
    </w:p>
    <w:p w:rsidR="00A401C0" w:rsidRPr="00776565" w:rsidRDefault="00A401C0" w:rsidP="00A401C0">
      <w:pPr>
        <w:pStyle w:val="Prrafodelista"/>
        <w:numPr>
          <w:ilvl w:val="0"/>
          <w:numId w:val="4"/>
        </w:numPr>
        <w:jc w:val="both"/>
        <w:rPr>
          <w:rFonts w:ascii="Arial Narrow" w:hAnsi="Arial Narrow"/>
          <w:b/>
          <w:sz w:val="26"/>
          <w:szCs w:val="26"/>
        </w:rPr>
      </w:pPr>
      <w:r w:rsidRPr="00776565">
        <w:rPr>
          <w:rFonts w:ascii="Arial Narrow" w:hAnsi="Arial Narrow"/>
          <w:b/>
          <w:sz w:val="26"/>
          <w:szCs w:val="26"/>
        </w:rPr>
        <w:t>Navarra</w:t>
      </w:r>
    </w:p>
    <w:p w:rsidR="00821C3E" w:rsidRPr="00776565" w:rsidRDefault="00A401C0" w:rsidP="00776565">
      <w:pPr>
        <w:pStyle w:val="Prrafodelista"/>
        <w:numPr>
          <w:ilvl w:val="0"/>
          <w:numId w:val="4"/>
        </w:numPr>
        <w:spacing w:line="240" w:lineRule="auto"/>
        <w:jc w:val="both"/>
        <w:rPr>
          <w:rFonts w:ascii="Arial Narrow" w:hAnsi="Arial Narrow"/>
          <w:sz w:val="26"/>
          <w:szCs w:val="26"/>
        </w:rPr>
      </w:pPr>
      <w:r w:rsidRPr="00776565">
        <w:rPr>
          <w:rFonts w:ascii="Arial Narrow" w:hAnsi="Arial Narrow"/>
          <w:b/>
          <w:sz w:val="26"/>
          <w:szCs w:val="26"/>
        </w:rPr>
        <w:t>País Vasco:</w:t>
      </w:r>
      <w:r w:rsidRPr="00776565">
        <w:rPr>
          <w:rFonts w:ascii="Arial Narrow" w:hAnsi="Arial Narrow"/>
          <w:sz w:val="26"/>
          <w:szCs w:val="26"/>
        </w:rPr>
        <w:t xml:space="preserve"> Álava, Vizcaya y Guipúzcoa</w:t>
      </w:r>
      <w:r w:rsidR="00FB718C" w:rsidRPr="00776565">
        <w:rPr>
          <w:rFonts w:ascii="Arial Narrow" w:hAnsi="Arial Narrow"/>
          <w:sz w:val="26"/>
          <w:szCs w:val="26"/>
        </w:rPr>
        <w:t>.</w:t>
      </w:r>
    </w:p>
    <w:p w:rsidR="00776565" w:rsidRPr="00776565" w:rsidRDefault="00776565" w:rsidP="00776565">
      <w:pPr>
        <w:spacing w:after="0" w:line="240" w:lineRule="auto"/>
        <w:ind w:left="567"/>
        <w:jc w:val="both"/>
        <w:rPr>
          <w:rFonts w:ascii="Arial Narrow" w:hAnsi="Arial Narrow"/>
        </w:rPr>
      </w:pPr>
      <w:r w:rsidRPr="00776565">
        <w:rPr>
          <w:rFonts w:ascii="Arial Narrow" w:hAnsi="Arial Narrow"/>
        </w:rPr>
        <w:t>* La isla de Formentera ya se encontraba en fase 1</w:t>
      </w:r>
    </w:p>
    <w:p w:rsidR="00776565" w:rsidRPr="00776565" w:rsidRDefault="00776565" w:rsidP="00776565">
      <w:pPr>
        <w:spacing w:after="0" w:line="240" w:lineRule="auto"/>
        <w:ind w:left="567"/>
        <w:jc w:val="both"/>
        <w:rPr>
          <w:rFonts w:ascii="Arial Narrow" w:hAnsi="Arial Narrow"/>
        </w:rPr>
      </w:pPr>
      <w:r w:rsidRPr="00776565">
        <w:rPr>
          <w:rFonts w:ascii="Arial Narrow" w:hAnsi="Arial Narrow"/>
        </w:rPr>
        <w:t>** Las islas de La Gomera, El Hierro y La Graciosa ya se encontraban en fase 1</w:t>
      </w:r>
    </w:p>
    <w:sectPr w:rsidR="00776565" w:rsidRPr="00776565" w:rsidSect="00776565">
      <w:headerReference w:type="default" r:id="rId7"/>
      <w:footerReference w:type="default" r:id="rId8"/>
      <w:pgSz w:w="11906" w:h="16838"/>
      <w:pgMar w:top="1146" w:right="1558"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32A8" w:rsidRDefault="009132A8" w:rsidP="00CD258A">
      <w:pPr>
        <w:spacing w:after="0" w:line="240" w:lineRule="auto"/>
      </w:pPr>
      <w:r>
        <w:separator/>
      </w:r>
    </w:p>
  </w:endnote>
  <w:endnote w:type="continuationSeparator" w:id="0">
    <w:p w:rsidR="009132A8" w:rsidRDefault="009132A8" w:rsidP="00CD25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747" w:rsidRDefault="004E6747" w:rsidP="00FB718C">
    <w:pPr>
      <w:pStyle w:val="Piedepgina"/>
      <w:jc w:val="center"/>
    </w:pPr>
  </w:p>
  <w:p w:rsidR="004E6747" w:rsidRDefault="004E674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32A8" w:rsidRDefault="009132A8" w:rsidP="00CD258A">
      <w:pPr>
        <w:spacing w:after="0" w:line="240" w:lineRule="auto"/>
      </w:pPr>
      <w:r>
        <w:separator/>
      </w:r>
    </w:p>
  </w:footnote>
  <w:footnote w:type="continuationSeparator" w:id="0">
    <w:p w:rsidR="009132A8" w:rsidRDefault="009132A8" w:rsidP="00CD25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58A" w:rsidRDefault="00CD258A">
    <w:pPr>
      <w:pStyle w:val="Encabezado"/>
    </w:pPr>
  </w:p>
  <w:tbl>
    <w:tblPr>
      <w:tblW w:w="9002" w:type="dxa"/>
      <w:tblInd w:w="496" w:type="dxa"/>
      <w:tblLayout w:type="fixed"/>
      <w:tblCellMar>
        <w:left w:w="70" w:type="dxa"/>
        <w:right w:w="70" w:type="dxa"/>
      </w:tblCellMar>
      <w:tblLook w:val="0000" w:firstRow="0" w:lastRow="0" w:firstColumn="0" w:lastColumn="0" w:noHBand="0" w:noVBand="0"/>
    </w:tblPr>
    <w:tblGrid>
      <w:gridCol w:w="6308"/>
      <w:gridCol w:w="2694"/>
    </w:tblGrid>
    <w:tr w:rsidR="009F5FB7" w:rsidRPr="00D41251" w:rsidTr="009F5FB7">
      <w:trPr>
        <w:cantSplit/>
        <w:trHeight w:val="543"/>
      </w:trPr>
      <w:tc>
        <w:tcPr>
          <w:tcW w:w="6308" w:type="dxa"/>
          <w:vMerge w:val="restart"/>
        </w:tcPr>
        <w:p w:rsidR="009F5FB7" w:rsidRDefault="009F5FB7" w:rsidP="00777744">
          <w:pPr>
            <w:pStyle w:val="Encabezado"/>
            <w:tabs>
              <w:tab w:val="clear" w:pos="4252"/>
              <w:tab w:val="left" w:pos="2127"/>
              <w:tab w:val="left" w:pos="6521"/>
            </w:tabs>
            <w:ind w:left="-89"/>
          </w:pPr>
          <w:r>
            <w:rPr>
              <w:noProof/>
              <w:lang w:eastAsia="es-ES"/>
            </w:rPr>
            <w:drawing>
              <wp:inline distT="0" distB="0" distL="0" distR="0" wp14:anchorId="54060D6C" wp14:editId="073DCA78">
                <wp:extent cx="1809750" cy="828675"/>
                <wp:effectExtent l="0" t="0" r="0" b="9525"/>
                <wp:docPr id="3" name="Imagen 3" descr="LOGO blanco 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lanco negr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828675"/>
                        </a:xfrm>
                        <a:prstGeom prst="rect">
                          <a:avLst/>
                        </a:prstGeom>
                        <a:noFill/>
                        <a:ln>
                          <a:noFill/>
                        </a:ln>
                      </pic:spPr>
                    </pic:pic>
                  </a:graphicData>
                </a:graphic>
              </wp:inline>
            </w:drawing>
          </w:r>
        </w:p>
      </w:tc>
      <w:tc>
        <w:tcPr>
          <w:tcW w:w="2694" w:type="dxa"/>
          <w:vMerge w:val="restart"/>
        </w:tcPr>
        <w:p w:rsidR="009F5FB7" w:rsidRDefault="009F5FB7" w:rsidP="00777744">
          <w:pPr>
            <w:pStyle w:val="Encabezado"/>
            <w:tabs>
              <w:tab w:val="clear" w:pos="4252"/>
              <w:tab w:val="left" w:pos="2127"/>
              <w:tab w:val="left" w:pos="6521"/>
            </w:tabs>
            <w:ind w:left="-89"/>
          </w:pPr>
          <w:r>
            <w:object w:dxaOrig="9181" w:dyaOrig="57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79.5pt" o:ole="">
                <v:imagedata r:id="rId2" o:title=""/>
              </v:shape>
              <o:OLEObject Type="Embed" ProgID="PBrush" ShapeID="_x0000_i1025" DrawAspect="Content" ObjectID="_1650476627" r:id="rId3"/>
            </w:object>
          </w:r>
        </w:p>
        <w:p w:rsidR="009F5FB7" w:rsidRPr="00EB7303" w:rsidRDefault="009F5FB7" w:rsidP="00EB7303"/>
      </w:tc>
    </w:tr>
    <w:tr w:rsidR="009F5FB7" w:rsidTr="00776565">
      <w:trPr>
        <w:cantSplit/>
        <w:trHeight w:val="1302"/>
      </w:trPr>
      <w:tc>
        <w:tcPr>
          <w:tcW w:w="6308" w:type="dxa"/>
          <w:vMerge/>
        </w:tcPr>
        <w:p w:rsidR="009F5FB7" w:rsidRDefault="009F5FB7" w:rsidP="00777744">
          <w:pPr>
            <w:pStyle w:val="Encabezado"/>
            <w:tabs>
              <w:tab w:val="clear" w:pos="4252"/>
              <w:tab w:val="left" w:pos="2127"/>
              <w:tab w:val="left" w:pos="6521"/>
            </w:tabs>
          </w:pPr>
        </w:p>
      </w:tc>
      <w:tc>
        <w:tcPr>
          <w:tcW w:w="2694" w:type="dxa"/>
          <w:vMerge/>
        </w:tcPr>
        <w:p w:rsidR="009F5FB7" w:rsidRDefault="009F5FB7" w:rsidP="00777744">
          <w:pPr>
            <w:pStyle w:val="Encabezado"/>
            <w:tabs>
              <w:tab w:val="clear" w:pos="4252"/>
              <w:tab w:val="left" w:pos="2127"/>
              <w:tab w:val="left" w:pos="6521"/>
            </w:tabs>
          </w:pPr>
        </w:p>
      </w:tc>
    </w:tr>
  </w:tbl>
  <w:p w:rsidR="00CD258A" w:rsidRDefault="00CD258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8394E"/>
    <w:multiLevelType w:val="hybridMultilevel"/>
    <w:tmpl w:val="4372FF7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18C4C15"/>
    <w:multiLevelType w:val="hybridMultilevel"/>
    <w:tmpl w:val="FCDE71C2"/>
    <w:lvl w:ilvl="0" w:tplc="DC74E864">
      <w:start w:val="3"/>
      <w:numFmt w:val="bullet"/>
      <w:lvlText w:val="-"/>
      <w:lvlJc w:val="left"/>
      <w:pPr>
        <w:ind w:left="927" w:hanging="360"/>
      </w:pPr>
      <w:rPr>
        <w:rFonts w:ascii="Arial Narrow" w:eastAsiaTheme="minorHAnsi" w:hAnsi="Arial Narrow" w:cstheme="minorBidi"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2" w15:restartNumberingAfterBreak="0">
    <w:nsid w:val="600E4511"/>
    <w:multiLevelType w:val="hybridMultilevel"/>
    <w:tmpl w:val="8C703A8E"/>
    <w:lvl w:ilvl="0" w:tplc="0C0A0005">
      <w:start w:val="1"/>
      <w:numFmt w:val="bullet"/>
      <w:lvlText w:val=""/>
      <w:lvlJc w:val="left"/>
      <w:pPr>
        <w:ind w:left="1287" w:hanging="360"/>
      </w:pPr>
      <w:rPr>
        <w:rFonts w:ascii="Wingdings" w:hAnsi="Wingdings"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3" w15:restartNumberingAfterBreak="0">
    <w:nsid w:val="65F95A18"/>
    <w:multiLevelType w:val="hybridMultilevel"/>
    <w:tmpl w:val="1EAE81CE"/>
    <w:lvl w:ilvl="0" w:tplc="0C0A0005">
      <w:start w:val="1"/>
      <w:numFmt w:val="bullet"/>
      <w:lvlText w:val=""/>
      <w:lvlJc w:val="left"/>
      <w:pPr>
        <w:ind w:left="1035" w:hanging="360"/>
      </w:pPr>
      <w:rPr>
        <w:rFonts w:ascii="Wingdings" w:hAnsi="Wingdings" w:hint="default"/>
      </w:rPr>
    </w:lvl>
    <w:lvl w:ilvl="1" w:tplc="0C0A0003" w:tentative="1">
      <w:start w:val="1"/>
      <w:numFmt w:val="bullet"/>
      <w:lvlText w:val="o"/>
      <w:lvlJc w:val="left"/>
      <w:pPr>
        <w:ind w:left="1755" w:hanging="360"/>
      </w:pPr>
      <w:rPr>
        <w:rFonts w:ascii="Courier New" w:hAnsi="Courier New" w:cs="Courier New" w:hint="default"/>
      </w:rPr>
    </w:lvl>
    <w:lvl w:ilvl="2" w:tplc="0C0A0005" w:tentative="1">
      <w:start w:val="1"/>
      <w:numFmt w:val="bullet"/>
      <w:lvlText w:val=""/>
      <w:lvlJc w:val="left"/>
      <w:pPr>
        <w:ind w:left="2475" w:hanging="360"/>
      </w:pPr>
      <w:rPr>
        <w:rFonts w:ascii="Wingdings" w:hAnsi="Wingdings" w:hint="default"/>
      </w:rPr>
    </w:lvl>
    <w:lvl w:ilvl="3" w:tplc="0C0A0001" w:tentative="1">
      <w:start w:val="1"/>
      <w:numFmt w:val="bullet"/>
      <w:lvlText w:val=""/>
      <w:lvlJc w:val="left"/>
      <w:pPr>
        <w:ind w:left="3195" w:hanging="360"/>
      </w:pPr>
      <w:rPr>
        <w:rFonts w:ascii="Symbol" w:hAnsi="Symbol" w:hint="default"/>
      </w:rPr>
    </w:lvl>
    <w:lvl w:ilvl="4" w:tplc="0C0A0003" w:tentative="1">
      <w:start w:val="1"/>
      <w:numFmt w:val="bullet"/>
      <w:lvlText w:val="o"/>
      <w:lvlJc w:val="left"/>
      <w:pPr>
        <w:ind w:left="3915" w:hanging="360"/>
      </w:pPr>
      <w:rPr>
        <w:rFonts w:ascii="Courier New" w:hAnsi="Courier New" w:cs="Courier New" w:hint="default"/>
      </w:rPr>
    </w:lvl>
    <w:lvl w:ilvl="5" w:tplc="0C0A0005" w:tentative="1">
      <w:start w:val="1"/>
      <w:numFmt w:val="bullet"/>
      <w:lvlText w:val=""/>
      <w:lvlJc w:val="left"/>
      <w:pPr>
        <w:ind w:left="4635" w:hanging="360"/>
      </w:pPr>
      <w:rPr>
        <w:rFonts w:ascii="Wingdings" w:hAnsi="Wingdings" w:hint="default"/>
      </w:rPr>
    </w:lvl>
    <w:lvl w:ilvl="6" w:tplc="0C0A0001" w:tentative="1">
      <w:start w:val="1"/>
      <w:numFmt w:val="bullet"/>
      <w:lvlText w:val=""/>
      <w:lvlJc w:val="left"/>
      <w:pPr>
        <w:ind w:left="5355" w:hanging="360"/>
      </w:pPr>
      <w:rPr>
        <w:rFonts w:ascii="Symbol" w:hAnsi="Symbol" w:hint="default"/>
      </w:rPr>
    </w:lvl>
    <w:lvl w:ilvl="7" w:tplc="0C0A0003" w:tentative="1">
      <w:start w:val="1"/>
      <w:numFmt w:val="bullet"/>
      <w:lvlText w:val="o"/>
      <w:lvlJc w:val="left"/>
      <w:pPr>
        <w:ind w:left="6075" w:hanging="360"/>
      </w:pPr>
      <w:rPr>
        <w:rFonts w:ascii="Courier New" w:hAnsi="Courier New" w:cs="Courier New" w:hint="default"/>
      </w:rPr>
    </w:lvl>
    <w:lvl w:ilvl="8" w:tplc="0C0A0005" w:tentative="1">
      <w:start w:val="1"/>
      <w:numFmt w:val="bullet"/>
      <w:lvlText w:val=""/>
      <w:lvlJc w:val="left"/>
      <w:pPr>
        <w:ind w:left="6795"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activeWritingStyle w:appName="MSWord" w:lang="es-ES"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58A"/>
    <w:rsid w:val="00033304"/>
    <w:rsid w:val="00075971"/>
    <w:rsid w:val="000A3135"/>
    <w:rsid w:val="000A57E8"/>
    <w:rsid w:val="00114982"/>
    <w:rsid w:val="00145278"/>
    <w:rsid w:val="00196384"/>
    <w:rsid w:val="001A1F36"/>
    <w:rsid w:val="001C2905"/>
    <w:rsid w:val="0026658A"/>
    <w:rsid w:val="00276322"/>
    <w:rsid w:val="00296CE5"/>
    <w:rsid w:val="002A5616"/>
    <w:rsid w:val="002A7628"/>
    <w:rsid w:val="00317F2A"/>
    <w:rsid w:val="00351F0C"/>
    <w:rsid w:val="00355B2F"/>
    <w:rsid w:val="003761E7"/>
    <w:rsid w:val="00393001"/>
    <w:rsid w:val="003C5AD4"/>
    <w:rsid w:val="003C7C67"/>
    <w:rsid w:val="00432633"/>
    <w:rsid w:val="004456C0"/>
    <w:rsid w:val="004551A4"/>
    <w:rsid w:val="00463398"/>
    <w:rsid w:val="00497315"/>
    <w:rsid w:val="004A3912"/>
    <w:rsid w:val="004C5BA9"/>
    <w:rsid w:val="004E6747"/>
    <w:rsid w:val="00587C77"/>
    <w:rsid w:val="0062364F"/>
    <w:rsid w:val="00691F48"/>
    <w:rsid w:val="006D733A"/>
    <w:rsid w:val="006E2CB8"/>
    <w:rsid w:val="007054CB"/>
    <w:rsid w:val="00725976"/>
    <w:rsid w:val="00776565"/>
    <w:rsid w:val="007E48AD"/>
    <w:rsid w:val="007F65C0"/>
    <w:rsid w:val="007F727E"/>
    <w:rsid w:val="00821C3E"/>
    <w:rsid w:val="00832F45"/>
    <w:rsid w:val="009132A8"/>
    <w:rsid w:val="00962816"/>
    <w:rsid w:val="0099658F"/>
    <w:rsid w:val="009D4408"/>
    <w:rsid w:val="009F5FB7"/>
    <w:rsid w:val="00A401C0"/>
    <w:rsid w:val="00AD0223"/>
    <w:rsid w:val="00B148AD"/>
    <w:rsid w:val="00B60211"/>
    <w:rsid w:val="00B65D7E"/>
    <w:rsid w:val="00BE4282"/>
    <w:rsid w:val="00C40F7C"/>
    <w:rsid w:val="00C70281"/>
    <w:rsid w:val="00C71307"/>
    <w:rsid w:val="00CD258A"/>
    <w:rsid w:val="00D624E3"/>
    <w:rsid w:val="00DF3DD2"/>
    <w:rsid w:val="00E2374D"/>
    <w:rsid w:val="00E300B6"/>
    <w:rsid w:val="00E32B39"/>
    <w:rsid w:val="00E37EE3"/>
    <w:rsid w:val="00E7245B"/>
    <w:rsid w:val="00E75DC5"/>
    <w:rsid w:val="00E91A89"/>
    <w:rsid w:val="00E96A2D"/>
    <w:rsid w:val="00EB1BB9"/>
    <w:rsid w:val="00EB7303"/>
    <w:rsid w:val="00F57262"/>
    <w:rsid w:val="00FB6E55"/>
    <w:rsid w:val="00FB718C"/>
    <w:rsid w:val="00FC1DA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3CBA89-EF5D-4C65-9834-6420086D0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D258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D258A"/>
  </w:style>
  <w:style w:type="paragraph" w:styleId="Piedepgina">
    <w:name w:val="footer"/>
    <w:basedOn w:val="Normal"/>
    <w:link w:val="PiedepginaCar"/>
    <w:uiPriority w:val="99"/>
    <w:unhideWhenUsed/>
    <w:rsid w:val="00CD258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D258A"/>
  </w:style>
  <w:style w:type="paragraph" w:styleId="Textodeglobo">
    <w:name w:val="Balloon Text"/>
    <w:basedOn w:val="Normal"/>
    <w:link w:val="TextodegloboCar"/>
    <w:uiPriority w:val="99"/>
    <w:semiHidden/>
    <w:unhideWhenUsed/>
    <w:rsid w:val="00CD258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258A"/>
    <w:rPr>
      <w:rFonts w:ascii="Tahoma" w:hAnsi="Tahoma" w:cs="Tahoma"/>
      <w:sz w:val="16"/>
      <w:szCs w:val="16"/>
    </w:rPr>
  </w:style>
  <w:style w:type="paragraph" w:styleId="Prrafodelista">
    <w:name w:val="List Paragraph"/>
    <w:basedOn w:val="Normal"/>
    <w:uiPriority w:val="34"/>
    <w:qFormat/>
    <w:rsid w:val="00E96A2D"/>
    <w:pPr>
      <w:ind w:left="720"/>
      <w:contextualSpacing/>
    </w:pPr>
  </w:style>
  <w:style w:type="character" w:styleId="Hipervnculo">
    <w:name w:val="Hyperlink"/>
    <w:basedOn w:val="Fuentedeprrafopredeter"/>
    <w:uiPriority w:val="99"/>
    <w:unhideWhenUsed/>
    <w:rsid w:val="00821C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45088">
      <w:bodyDiv w:val="1"/>
      <w:marLeft w:val="0"/>
      <w:marRight w:val="0"/>
      <w:marTop w:val="0"/>
      <w:marBottom w:val="0"/>
      <w:divBdr>
        <w:top w:val="none" w:sz="0" w:space="0" w:color="auto"/>
        <w:left w:val="none" w:sz="0" w:space="0" w:color="auto"/>
        <w:bottom w:val="none" w:sz="0" w:space="0" w:color="auto"/>
        <w:right w:val="none" w:sz="0" w:space="0" w:color="auto"/>
      </w:divBdr>
    </w:div>
    <w:div w:id="94987397">
      <w:bodyDiv w:val="1"/>
      <w:marLeft w:val="0"/>
      <w:marRight w:val="0"/>
      <w:marTop w:val="0"/>
      <w:marBottom w:val="0"/>
      <w:divBdr>
        <w:top w:val="none" w:sz="0" w:space="0" w:color="auto"/>
        <w:left w:val="none" w:sz="0" w:space="0" w:color="auto"/>
        <w:bottom w:val="none" w:sz="0" w:space="0" w:color="auto"/>
        <w:right w:val="none" w:sz="0" w:space="0" w:color="auto"/>
      </w:divBdr>
    </w:div>
    <w:div w:id="239141909">
      <w:bodyDiv w:val="1"/>
      <w:marLeft w:val="0"/>
      <w:marRight w:val="0"/>
      <w:marTop w:val="0"/>
      <w:marBottom w:val="0"/>
      <w:divBdr>
        <w:top w:val="none" w:sz="0" w:space="0" w:color="auto"/>
        <w:left w:val="none" w:sz="0" w:space="0" w:color="auto"/>
        <w:bottom w:val="none" w:sz="0" w:space="0" w:color="auto"/>
        <w:right w:val="none" w:sz="0" w:space="0" w:color="auto"/>
      </w:divBdr>
    </w:div>
    <w:div w:id="493299163">
      <w:bodyDiv w:val="1"/>
      <w:marLeft w:val="0"/>
      <w:marRight w:val="0"/>
      <w:marTop w:val="0"/>
      <w:marBottom w:val="0"/>
      <w:divBdr>
        <w:top w:val="none" w:sz="0" w:space="0" w:color="auto"/>
        <w:left w:val="none" w:sz="0" w:space="0" w:color="auto"/>
        <w:bottom w:val="none" w:sz="0" w:space="0" w:color="auto"/>
        <w:right w:val="none" w:sz="0" w:space="0" w:color="auto"/>
      </w:divBdr>
    </w:div>
    <w:div w:id="526992590">
      <w:bodyDiv w:val="1"/>
      <w:marLeft w:val="0"/>
      <w:marRight w:val="0"/>
      <w:marTop w:val="0"/>
      <w:marBottom w:val="0"/>
      <w:divBdr>
        <w:top w:val="none" w:sz="0" w:space="0" w:color="auto"/>
        <w:left w:val="none" w:sz="0" w:space="0" w:color="auto"/>
        <w:bottom w:val="none" w:sz="0" w:space="0" w:color="auto"/>
        <w:right w:val="none" w:sz="0" w:space="0" w:color="auto"/>
      </w:divBdr>
    </w:div>
    <w:div w:id="844516930">
      <w:bodyDiv w:val="1"/>
      <w:marLeft w:val="0"/>
      <w:marRight w:val="0"/>
      <w:marTop w:val="0"/>
      <w:marBottom w:val="0"/>
      <w:divBdr>
        <w:top w:val="none" w:sz="0" w:space="0" w:color="auto"/>
        <w:left w:val="none" w:sz="0" w:space="0" w:color="auto"/>
        <w:bottom w:val="none" w:sz="0" w:space="0" w:color="auto"/>
        <w:right w:val="none" w:sz="0" w:space="0" w:color="auto"/>
      </w:divBdr>
    </w:div>
    <w:div w:id="1290042001">
      <w:bodyDiv w:val="1"/>
      <w:marLeft w:val="0"/>
      <w:marRight w:val="0"/>
      <w:marTop w:val="0"/>
      <w:marBottom w:val="0"/>
      <w:divBdr>
        <w:top w:val="none" w:sz="0" w:space="0" w:color="auto"/>
        <w:left w:val="none" w:sz="0" w:space="0" w:color="auto"/>
        <w:bottom w:val="none" w:sz="0" w:space="0" w:color="auto"/>
        <w:right w:val="none" w:sz="0" w:space="0" w:color="auto"/>
      </w:divBdr>
    </w:div>
    <w:div w:id="1313675514">
      <w:bodyDiv w:val="1"/>
      <w:marLeft w:val="0"/>
      <w:marRight w:val="0"/>
      <w:marTop w:val="0"/>
      <w:marBottom w:val="0"/>
      <w:divBdr>
        <w:top w:val="none" w:sz="0" w:space="0" w:color="auto"/>
        <w:left w:val="none" w:sz="0" w:space="0" w:color="auto"/>
        <w:bottom w:val="none" w:sz="0" w:space="0" w:color="auto"/>
        <w:right w:val="none" w:sz="0" w:space="0" w:color="auto"/>
      </w:divBdr>
    </w:div>
    <w:div w:id="1447508260">
      <w:bodyDiv w:val="1"/>
      <w:marLeft w:val="0"/>
      <w:marRight w:val="0"/>
      <w:marTop w:val="0"/>
      <w:marBottom w:val="0"/>
      <w:divBdr>
        <w:top w:val="none" w:sz="0" w:space="0" w:color="auto"/>
        <w:left w:val="none" w:sz="0" w:space="0" w:color="auto"/>
        <w:bottom w:val="none" w:sz="0" w:space="0" w:color="auto"/>
        <w:right w:val="none" w:sz="0" w:space="0" w:color="auto"/>
      </w:divBdr>
    </w:div>
    <w:div w:id="1460758241">
      <w:bodyDiv w:val="1"/>
      <w:marLeft w:val="0"/>
      <w:marRight w:val="0"/>
      <w:marTop w:val="0"/>
      <w:marBottom w:val="0"/>
      <w:divBdr>
        <w:top w:val="none" w:sz="0" w:space="0" w:color="auto"/>
        <w:left w:val="none" w:sz="0" w:space="0" w:color="auto"/>
        <w:bottom w:val="none" w:sz="0" w:space="0" w:color="auto"/>
        <w:right w:val="none" w:sz="0" w:space="0" w:color="auto"/>
      </w:divBdr>
    </w:div>
    <w:div w:id="1689283914">
      <w:bodyDiv w:val="1"/>
      <w:marLeft w:val="0"/>
      <w:marRight w:val="0"/>
      <w:marTop w:val="0"/>
      <w:marBottom w:val="0"/>
      <w:divBdr>
        <w:top w:val="none" w:sz="0" w:space="0" w:color="auto"/>
        <w:left w:val="none" w:sz="0" w:space="0" w:color="auto"/>
        <w:bottom w:val="none" w:sz="0" w:space="0" w:color="auto"/>
        <w:right w:val="none" w:sz="0" w:space="0" w:color="auto"/>
      </w:divBdr>
    </w:div>
    <w:div w:id="1715234075">
      <w:bodyDiv w:val="1"/>
      <w:marLeft w:val="0"/>
      <w:marRight w:val="0"/>
      <w:marTop w:val="0"/>
      <w:marBottom w:val="0"/>
      <w:divBdr>
        <w:top w:val="none" w:sz="0" w:space="0" w:color="auto"/>
        <w:left w:val="none" w:sz="0" w:space="0" w:color="auto"/>
        <w:bottom w:val="none" w:sz="0" w:space="0" w:color="auto"/>
        <w:right w:val="none" w:sz="0" w:space="0" w:color="auto"/>
      </w:divBdr>
    </w:div>
    <w:div w:id="1916091796">
      <w:bodyDiv w:val="1"/>
      <w:marLeft w:val="0"/>
      <w:marRight w:val="0"/>
      <w:marTop w:val="0"/>
      <w:marBottom w:val="0"/>
      <w:divBdr>
        <w:top w:val="none" w:sz="0" w:space="0" w:color="auto"/>
        <w:left w:val="none" w:sz="0" w:space="0" w:color="auto"/>
        <w:bottom w:val="none" w:sz="0" w:space="0" w:color="auto"/>
        <w:right w:val="none" w:sz="0" w:space="0" w:color="auto"/>
      </w:divBdr>
    </w:div>
    <w:div w:id="207042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1426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Ministerio de Sanidad, Servicios Sociales e Igualdad</Company>
  <LinksUpToDate>false</LinksUpToDate>
  <CharactersWithSpaces>1682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Vanesa Pi Giménez</dc:creator>
  <cp:lastModifiedBy>Usuario local NIUS</cp:lastModifiedBy>
  <cp:revision>2</cp:revision>
  <cp:lastPrinted>2020-03-31T08:47:00Z</cp:lastPrinted>
  <dcterms:created xsi:type="dcterms:W3CDTF">2020-05-08T18:57:00Z</dcterms:created>
  <dcterms:modified xsi:type="dcterms:W3CDTF">2020-05-08T18:57:00Z</dcterms:modified>
</cp:coreProperties>
</file>