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40E96B27" w:rsidR="00D4698F" w:rsidRDefault="00D4698F" w:rsidP="0017441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F7B57">
        <w:rPr>
          <w:rFonts w:ascii="Arial" w:hAnsi="Arial"/>
          <w:sz w:val="24"/>
          <w:szCs w:val="24"/>
          <w:lang w:eastAsia="es-ES"/>
        </w:rPr>
        <w:t>7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174410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2415F916" w14:textId="2EF31A77" w:rsidR="007E1B94" w:rsidRPr="007E1B94" w:rsidRDefault="007E1B94" w:rsidP="00174410">
      <w:pPr>
        <w:spacing w:after="0" w:line="240" w:lineRule="auto"/>
        <w:ind w:right="-1"/>
        <w:jc w:val="center"/>
        <w:rPr>
          <w:rFonts w:ascii="Arial" w:hAnsi="Arial"/>
          <w:bCs/>
          <w:color w:val="1F3864"/>
          <w:sz w:val="44"/>
          <w:szCs w:val="44"/>
          <w:lang w:eastAsia="es-ES"/>
        </w:rPr>
      </w:pPr>
      <w:r w:rsidRPr="007E1B94">
        <w:rPr>
          <w:rFonts w:ascii="Arial" w:hAnsi="Arial"/>
          <w:bCs/>
          <w:color w:val="1F3864"/>
          <w:sz w:val="44"/>
          <w:szCs w:val="44"/>
          <w:lang w:eastAsia="es-ES"/>
        </w:rPr>
        <w:t>Diez curiosidades del consumo de televisión durante el confinamiento</w:t>
      </w:r>
    </w:p>
    <w:p w14:paraId="40F4C75F" w14:textId="77777777" w:rsidR="006F2A2A" w:rsidRPr="007E1B94" w:rsidRDefault="006F2A2A" w:rsidP="006F2A2A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42"/>
          <w:szCs w:val="42"/>
        </w:rPr>
      </w:pPr>
    </w:p>
    <w:p w14:paraId="0DC662E4" w14:textId="77777777" w:rsidR="006F2A2A" w:rsidRPr="006F2A2A" w:rsidRDefault="006F2A2A" w:rsidP="006F2A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F2A2A">
        <w:rPr>
          <w:rFonts w:ascii="Arial" w:hAnsi="Arial" w:cs="Arial"/>
          <w:b/>
          <w:bCs/>
          <w:sz w:val="24"/>
          <w:szCs w:val="24"/>
        </w:rPr>
        <w:t>La televisión lineal y digital concentra el 85% del consumo audiovisual, casi 10 veces más que el vídeo en Internet (9%) y 15 veces más que las plataformas OTT (6%).</w:t>
      </w:r>
    </w:p>
    <w:p w14:paraId="56EDA5F6" w14:textId="77777777" w:rsidR="006F2A2A" w:rsidRPr="006F2A2A" w:rsidRDefault="006F2A2A" w:rsidP="006F2A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373B20" w14:textId="7B77A23F" w:rsidR="006F2A2A" w:rsidRPr="006F2A2A" w:rsidRDefault="006F2A2A" w:rsidP="006F2A2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F2A2A">
        <w:rPr>
          <w:rFonts w:ascii="Arial" w:hAnsi="Arial" w:cs="Arial"/>
          <w:b/>
          <w:bCs/>
          <w:sz w:val="24"/>
          <w:szCs w:val="24"/>
        </w:rPr>
        <w:t>La notoriedad publicitaria se ha incrementado en un 90% respecto al periodo anterior a la crisis sanitaria, especialmente entre los anunciantes que mantienen o incrementan la presión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099F9B7" w14:textId="77777777" w:rsidR="0046172B" w:rsidRPr="006F2A2A" w:rsidRDefault="0046172B" w:rsidP="0046172B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14:paraId="0E0DDBD7" w14:textId="5A271C43" w:rsidR="0046172B" w:rsidRPr="006F2A2A" w:rsidRDefault="0046172B" w:rsidP="0046172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/>
          <w:b/>
          <w:bCs/>
          <w:color w:val="1F3864" w:themeColor="accent1" w:themeShade="80"/>
          <w:sz w:val="42"/>
          <w:szCs w:val="42"/>
          <w:lang w:eastAsia="es-ES"/>
        </w:rPr>
      </w:pPr>
      <w:r w:rsidRPr="006F2A2A"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z w:val="24"/>
          <w:szCs w:val="24"/>
        </w:rPr>
        <w:t xml:space="preserve"> espectadores</w:t>
      </w:r>
      <w:r w:rsidRPr="006F2A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valoran en mayor medida la</w:t>
      </w:r>
      <w:r w:rsidRPr="006F2A2A">
        <w:rPr>
          <w:rFonts w:ascii="Arial" w:hAnsi="Arial" w:cs="Arial"/>
          <w:b/>
          <w:bCs/>
          <w:sz w:val="24"/>
          <w:szCs w:val="24"/>
        </w:rPr>
        <w:t xml:space="preserve"> publicidad </w:t>
      </w:r>
      <w:r>
        <w:rPr>
          <w:rFonts w:ascii="Arial" w:hAnsi="Arial" w:cs="Arial"/>
          <w:b/>
          <w:bCs/>
          <w:sz w:val="24"/>
          <w:szCs w:val="24"/>
        </w:rPr>
        <w:t>que transmite</w:t>
      </w:r>
      <w:r w:rsidRPr="006F2A2A">
        <w:rPr>
          <w:rFonts w:ascii="Arial" w:hAnsi="Arial" w:cs="Arial"/>
          <w:b/>
          <w:bCs/>
          <w:sz w:val="24"/>
          <w:szCs w:val="24"/>
        </w:rPr>
        <w:t xml:space="preserve"> mensajes positivos o una comunicación normalizada.</w:t>
      </w:r>
    </w:p>
    <w:p w14:paraId="7B3FFB56" w14:textId="77777777" w:rsidR="0046172B" w:rsidRPr="00C81745" w:rsidRDefault="0046172B" w:rsidP="0017441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5D85A27" w14:textId="1E1FEED2" w:rsidR="008C7FAA" w:rsidRDefault="002F7B57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</w:t>
      </w:r>
      <w:r w:rsidR="009D77DB">
        <w:rPr>
          <w:rFonts w:ascii="Arial" w:hAnsi="Arial" w:cs="Arial"/>
          <w:bCs/>
          <w:sz w:val="24"/>
          <w:szCs w:val="24"/>
        </w:rPr>
        <w:t xml:space="preserve">más de </w:t>
      </w:r>
      <w:r>
        <w:rPr>
          <w:rFonts w:ascii="Arial" w:hAnsi="Arial" w:cs="Arial"/>
          <w:bCs/>
          <w:sz w:val="24"/>
          <w:szCs w:val="24"/>
        </w:rPr>
        <w:t xml:space="preserve">siete semanas de confinamiento </w:t>
      </w:r>
      <w:r w:rsidR="00643BBB">
        <w:rPr>
          <w:rFonts w:ascii="Arial" w:hAnsi="Arial" w:cs="Arial"/>
          <w:bCs/>
          <w:sz w:val="24"/>
          <w:szCs w:val="24"/>
        </w:rPr>
        <w:t>derivad</w:t>
      </w:r>
      <w:r w:rsidR="00690416">
        <w:rPr>
          <w:rFonts w:ascii="Arial" w:hAnsi="Arial" w:cs="Arial"/>
          <w:bCs/>
          <w:sz w:val="24"/>
          <w:szCs w:val="24"/>
        </w:rPr>
        <w:t>o</w:t>
      </w:r>
      <w:r w:rsidR="006F2A2A">
        <w:rPr>
          <w:rFonts w:ascii="Arial" w:hAnsi="Arial" w:cs="Arial"/>
          <w:bCs/>
          <w:sz w:val="24"/>
          <w:szCs w:val="24"/>
        </w:rPr>
        <w:t xml:space="preserve"> </w:t>
      </w:r>
      <w:r w:rsidR="00643BBB">
        <w:rPr>
          <w:rFonts w:ascii="Arial" w:hAnsi="Arial" w:cs="Arial"/>
          <w:bCs/>
          <w:sz w:val="24"/>
          <w:szCs w:val="24"/>
        </w:rPr>
        <w:t xml:space="preserve">de </w:t>
      </w:r>
      <w:r w:rsidR="00FC0A2B">
        <w:rPr>
          <w:rFonts w:ascii="Arial" w:hAnsi="Arial" w:cs="Arial"/>
          <w:bCs/>
          <w:sz w:val="24"/>
          <w:szCs w:val="24"/>
        </w:rPr>
        <w:t xml:space="preserve">la crisis </w:t>
      </w:r>
      <w:r w:rsidR="00643BBB">
        <w:rPr>
          <w:rFonts w:ascii="Arial" w:hAnsi="Arial" w:cs="Arial"/>
          <w:bCs/>
          <w:sz w:val="24"/>
          <w:szCs w:val="24"/>
        </w:rPr>
        <w:t xml:space="preserve">sanitaria por el brote de </w:t>
      </w:r>
      <w:r w:rsidR="00E4748A">
        <w:rPr>
          <w:rFonts w:ascii="Arial" w:hAnsi="Arial" w:cs="Arial"/>
          <w:bCs/>
          <w:sz w:val="24"/>
          <w:szCs w:val="24"/>
        </w:rPr>
        <w:t>COVID-19</w:t>
      </w:r>
      <w:r w:rsidR="00643BBB">
        <w:rPr>
          <w:rFonts w:ascii="Arial" w:hAnsi="Arial" w:cs="Arial"/>
          <w:bCs/>
          <w:sz w:val="24"/>
          <w:szCs w:val="24"/>
        </w:rPr>
        <w:t xml:space="preserve">, la </w:t>
      </w:r>
      <w:r w:rsidR="00643BBB" w:rsidRPr="00060F4D">
        <w:rPr>
          <w:rFonts w:ascii="Arial" w:hAnsi="Arial" w:cs="Arial"/>
          <w:b/>
          <w:bCs/>
          <w:sz w:val="24"/>
          <w:szCs w:val="24"/>
        </w:rPr>
        <w:t>televisión</w:t>
      </w:r>
      <w:r w:rsidR="00643BBB">
        <w:rPr>
          <w:rFonts w:ascii="Arial" w:hAnsi="Arial" w:cs="Arial"/>
          <w:bCs/>
          <w:sz w:val="24"/>
          <w:szCs w:val="24"/>
        </w:rPr>
        <w:t xml:space="preserve"> ha reforzado su posición como el </w:t>
      </w:r>
      <w:r w:rsidR="00643BBB" w:rsidRPr="00060F4D">
        <w:rPr>
          <w:rFonts w:ascii="Arial" w:hAnsi="Arial" w:cs="Arial"/>
          <w:b/>
          <w:bCs/>
          <w:sz w:val="24"/>
          <w:szCs w:val="24"/>
        </w:rPr>
        <w:t xml:space="preserve">gran medio de referencia de los espectadores para informarse </w:t>
      </w:r>
      <w:r w:rsidR="00060F4D" w:rsidRPr="00060F4D">
        <w:rPr>
          <w:rFonts w:ascii="Arial" w:hAnsi="Arial" w:cs="Arial"/>
          <w:b/>
          <w:bCs/>
          <w:sz w:val="24"/>
          <w:szCs w:val="24"/>
        </w:rPr>
        <w:t>y</w:t>
      </w:r>
      <w:r w:rsidR="00643BBB" w:rsidRPr="00060F4D">
        <w:rPr>
          <w:rFonts w:ascii="Arial" w:hAnsi="Arial" w:cs="Arial"/>
          <w:b/>
          <w:bCs/>
          <w:sz w:val="24"/>
          <w:szCs w:val="24"/>
        </w:rPr>
        <w:t xml:space="preserve"> entretenerse</w:t>
      </w:r>
      <w:r w:rsidR="00643BBB">
        <w:rPr>
          <w:rFonts w:ascii="Arial" w:hAnsi="Arial" w:cs="Arial"/>
          <w:bCs/>
          <w:sz w:val="24"/>
          <w:szCs w:val="24"/>
        </w:rPr>
        <w:t>, alcanzando registros históricos de consumo en marzo y</w:t>
      </w:r>
      <w:r w:rsidR="00060F4D">
        <w:rPr>
          <w:rFonts w:ascii="Arial" w:hAnsi="Arial" w:cs="Arial"/>
          <w:bCs/>
          <w:sz w:val="24"/>
          <w:szCs w:val="24"/>
        </w:rPr>
        <w:t>, posteriormente, en</w:t>
      </w:r>
      <w:r w:rsidR="00643BBB">
        <w:rPr>
          <w:rFonts w:ascii="Arial" w:hAnsi="Arial" w:cs="Arial"/>
          <w:bCs/>
          <w:sz w:val="24"/>
          <w:szCs w:val="24"/>
        </w:rPr>
        <w:t xml:space="preserve"> abril. </w:t>
      </w:r>
      <w:r w:rsidR="008C7FAA">
        <w:rPr>
          <w:rFonts w:ascii="Arial" w:hAnsi="Arial" w:cs="Arial"/>
          <w:bCs/>
          <w:sz w:val="24"/>
          <w:szCs w:val="24"/>
        </w:rPr>
        <w:t xml:space="preserve">El contenido audiovisual televisivo es el preferido por los espectadores, lo que ha derivado en </w:t>
      </w:r>
      <w:r w:rsidR="00F5567B">
        <w:rPr>
          <w:rFonts w:ascii="Arial" w:hAnsi="Arial" w:cs="Arial"/>
          <w:bCs/>
          <w:sz w:val="24"/>
          <w:szCs w:val="24"/>
        </w:rPr>
        <w:t xml:space="preserve">un </w:t>
      </w:r>
      <w:r w:rsidR="008C7FAA">
        <w:rPr>
          <w:rFonts w:ascii="Arial" w:hAnsi="Arial" w:cs="Arial"/>
          <w:bCs/>
          <w:sz w:val="24"/>
          <w:szCs w:val="24"/>
        </w:rPr>
        <w:t>aumento notable de la eficacia que el medio otorga a las campañas publicitarias en términos de recuerdo y notoriedad.</w:t>
      </w:r>
    </w:p>
    <w:p w14:paraId="5F384B06" w14:textId="77777777" w:rsidR="008C7FAA" w:rsidRDefault="008C7FAA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66E9C95" w14:textId="73533976" w:rsidR="002F7B57" w:rsidRDefault="00643BBB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Estos son algunos datos que evidencian </w:t>
      </w:r>
      <w:r w:rsidR="008C7FAA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hegemonía</w:t>
      </w:r>
      <w:r w:rsidR="008C7FAA">
        <w:rPr>
          <w:rFonts w:ascii="Arial" w:hAnsi="Arial" w:cs="Arial"/>
          <w:bCs/>
          <w:sz w:val="24"/>
          <w:szCs w:val="24"/>
        </w:rPr>
        <w:t xml:space="preserve"> de la televisión en cualquiera de sus formas de distribución, lineal o digital,</w:t>
      </w:r>
      <w:r w:rsidR="008C7FAA">
        <w:rPr>
          <w:rFonts w:ascii="Arial" w:hAnsi="Arial" w:cs="Arial"/>
          <w:b/>
          <w:bCs/>
          <w:sz w:val="24"/>
          <w:szCs w:val="24"/>
        </w:rPr>
        <w:t xml:space="preserve"> según el informe ‘TV </w:t>
      </w:r>
      <w:proofErr w:type="spellStart"/>
      <w:r w:rsidR="008C7FAA">
        <w:rPr>
          <w:rFonts w:ascii="Arial" w:hAnsi="Arial" w:cs="Arial"/>
          <w:b/>
          <w:bCs/>
          <w:sz w:val="24"/>
          <w:szCs w:val="24"/>
        </w:rPr>
        <w:t>All</w:t>
      </w:r>
      <w:proofErr w:type="spellEnd"/>
      <w:r w:rsidR="00F5567B">
        <w:rPr>
          <w:rFonts w:ascii="Arial" w:hAnsi="Arial" w:cs="Arial"/>
          <w:b/>
          <w:bCs/>
          <w:sz w:val="24"/>
          <w:szCs w:val="24"/>
        </w:rPr>
        <w:t xml:space="preserve"> In</w:t>
      </w:r>
      <w:r w:rsidR="008C7FAA">
        <w:rPr>
          <w:rFonts w:ascii="Arial" w:hAnsi="Arial" w:cs="Arial"/>
          <w:b/>
          <w:bCs/>
          <w:sz w:val="24"/>
          <w:szCs w:val="24"/>
        </w:rPr>
        <w:t xml:space="preserve">’ realizado por Publiespaña con datos de </w:t>
      </w:r>
      <w:proofErr w:type="spellStart"/>
      <w:r w:rsidR="008C7FAA">
        <w:rPr>
          <w:rFonts w:ascii="Arial" w:hAnsi="Arial" w:cs="Arial"/>
          <w:b/>
          <w:bCs/>
          <w:sz w:val="24"/>
          <w:szCs w:val="24"/>
        </w:rPr>
        <w:t>Com</w:t>
      </w:r>
      <w:r w:rsidR="00F5567B">
        <w:rPr>
          <w:rFonts w:ascii="Arial" w:hAnsi="Arial" w:cs="Arial"/>
          <w:b/>
          <w:bCs/>
          <w:sz w:val="24"/>
          <w:szCs w:val="24"/>
        </w:rPr>
        <w:t>S</w:t>
      </w:r>
      <w:r w:rsidR="008C7FAA">
        <w:rPr>
          <w:rFonts w:ascii="Arial" w:hAnsi="Arial" w:cs="Arial"/>
          <w:b/>
          <w:bCs/>
          <w:sz w:val="24"/>
          <w:szCs w:val="24"/>
        </w:rPr>
        <w:t>core</w:t>
      </w:r>
      <w:proofErr w:type="spellEnd"/>
      <w:r w:rsidR="008C7FAA">
        <w:rPr>
          <w:rFonts w:ascii="Arial" w:hAnsi="Arial" w:cs="Arial"/>
          <w:b/>
          <w:bCs/>
          <w:sz w:val="24"/>
          <w:szCs w:val="24"/>
        </w:rPr>
        <w:t>, Kantar Media</w:t>
      </w:r>
      <w:r w:rsidR="00F5567B">
        <w:rPr>
          <w:rFonts w:ascii="Arial" w:hAnsi="Arial" w:cs="Arial"/>
          <w:b/>
          <w:bCs/>
          <w:sz w:val="24"/>
          <w:szCs w:val="24"/>
        </w:rPr>
        <w:t>, EGM, GFK, CIMEC</w:t>
      </w:r>
      <w:r w:rsidR="008C7FAA">
        <w:rPr>
          <w:rFonts w:ascii="Arial" w:hAnsi="Arial" w:cs="Arial"/>
          <w:b/>
          <w:bCs/>
          <w:sz w:val="24"/>
          <w:szCs w:val="24"/>
        </w:rPr>
        <w:t xml:space="preserve"> y el instituto </w:t>
      </w:r>
      <w:proofErr w:type="spellStart"/>
      <w:r w:rsidR="008C7FAA">
        <w:rPr>
          <w:rFonts w:ascii="Arial" w:hAnsi="Arial" w:cs="Arial"/>
          <w:b/>
          <w:bCs/>
          <w:sz w:val="24"/>
          <w:szCs w:val="24"/>
        </w:rPr>
        <w:t>Toluna</w:t>
      </w:r>
      <w:proofErr w:type="spellEnd"/>
      <w:r w:rsidR="008C7FAA">
        <w:rPr>
          <w:rFonts w:ascii="Arial" w:hAnsi="Arial" w:cs="Arial"/>
          <w:b/>
          <w:bCs/>
          <w:sz w:val="24"/>
          <w:szCs w:val="24"/>
        </w:rPr>
        <w:t xml:space="preserve"> sobre una encuesta realizada a más de 1.000 espectadores de todas las edades</w:t>
      </w:r>
      <w:r w:rsidR="00060F4D">
        <w:rPr>
          <w:rFonts w:ascii="Arial" w:hAnsi="Arial" w:cs="Arial"/>
          <w:bCs/>
          <w:sz w:val="24"/>
          <w:szCs w:val="24"/>
        </w:rPr>
        <w:t>:</w:t>
      </w:r>
    </w:p>
    <w:p w14:paraId="543A6141" w14:textId="5EB1E1A3" w:rsidR="002F7B57" w:rsidRDefault="002F7B57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61B34D7" w14:textId="64510F86" w:rsidR="003D59D0" w:rsidRPr="00473EB7" w:rsidRDefault="003D59D0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73EB7">
        <w:rPr>
          <w:rFonts w:ascii="Arial" w:hAnsi="Arial" w:cs="Arial"/>
          <w:b/>
          <w:bCs/>
          <w:sz w:val="24"/>
          <w:szCs w:val="24"/>
        </w:rPr>
        <w:t>Récord histórico de consumo de televisión</w:t>
      </w:r>
      <w:r w:rsidRPr="00473EB7">
        <w:rPr>
          <w:rFonts w:ascii="Arial" w:hAnsi="Arial" w:cs="Arial"/>
          <w:bCs/>
          <w:sz w:val="24"/>
          <w:szCs w:val="24"/>
        </w:rPr>
        <w:t xml:space="preserve"> en abril, con</w:t>
      </w:r>
      <w:r w:rsidR="00146ADF" w:rsidRPr="00473EB7">
        <w:rPr>
          <w:rFonts w:ascii="Arial" w:hAnsi="Arial" w:cs="Arial"/>
          <w:bCs/>
          <w:sz w:val="24"/>
          <w:szCs w:val="24"/>
        </w:rPr>
        <w:t xml:space="preserve"> una media de</w:t>
      </w:r>
      <w:r w:rsidRPr="00473EB7">
        <w:rPr>
          <w:rFonts w:ascii="Arial" w:hAnsi="Arial" w:cs="Arial"/>
          <w:bCs/>
          <w:sz w:val="24"/>
          <w:szCs w:val="24"/>
        </w:rPr>
        <w:t xml:space="preserve"> más de cinco horas diarias por espectador, un 30% más que en abril de 2019.</w:t>
      </w:r>
      <w:r w:rsidR="00BB6BB9" w:rsidRPr="00473EB7">
        <w:rPr>
          <w:rFonts w:ascii="Arial" w:hAnsi="Arial" w:cs="Arial"/>
          <w:bCs/>
          <w:sz w:val="24"/>
          <w:szCs w:val="24"/>
        </w:rPr>
        <w:t xml:space="preserve"> Telecinco, con su oferta informativa y de entretenimiento, ha sido la cadena preferida de los espectadores, y Mediaset España, con su</w:t>
      </w:r>
      <w:r w:rsidR="00131579">
        <w:rPr>
          <w:rFonts w:ascii="Arial" w:hAnsi="Arial" w:cs="Arial"/>
          <w:bCs/>
          <w:sz w:val="24"/>
          <w:szCs w:val="24"/>
        </w:rPr>
        <w:t>s</w:t>
      </w:r>
      <w:r w:rsidR="00BB6BB9" w:rsidRPr="00473EB7">
        <w:rPr>
          <w:rFonts w:ascii="Arial" w:hAnsi="Arial" w:cs="Arial"/>
          <w:bCs/>
          <w:sz w:val="24"/>
          <w:szCs w:val="24"/>
        </w:rPr>
        <w:t xml:space="preserve"> </w:t>
      </w:r>
      <w:r w:rsidR="00473EB7" w:rsidRPr="00473EB7">
        <w:rPr>
          <w:rFonts w:ascii="Arial" w:hAnsi="Arial" w:cs="Arial"/>
          <w:bCs/>
          <w:sz w:val="24"/>
          <w:szCs w:val="24"/>
        </w:rPr>
        <w:t>canales,</w:t>
      </w:r>
      <w:r w:rsidR="00BB6BB9" w:rsidRPr="00473EB7">
        <w:rPr>
          <w:rFonts w:ascii="Arial" w:hAnsi="Arial" w:cs="Arial"/>
          <w:bCs/>
          <w:sz w:val="24"/>
          <w:szCs w:val="24"/>
        </w:rPr>
        <w:t xml:space="preserve"> el grupo audiovisual líder.</w:t>
      </w:r>
    </w:p>
    <w:p w14:paraId="41342768" w14:textId="77777777" w:rsidR="003D59D0" w:rsidRPr="003D59D0" w:rsidRDefault="003D59D0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8569AF" w14:textId="463A87CD" w:rsidR="003D59D0" w:rsidRPr="003D59D0" w:rsidRDefault="00AA4AB0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3D59D0">
        <w:rPr>
          <w:rFonts w:ascii="Arial" w:hAnsi="Arial" w:cs="Arial"/>
          <w:bCs/>
          <w:sz w:val="24"/>
          <w:szCs w:val="24"/>
        </w:rPr>
        <w:t xml:space="preserve"> </w:t>
      </w:r>
      <w:r w:rsidR="003D59D0" w:rsidRPr="00861EF3">
        <w:rPr>
          <w:rFonts w:ascii="Arial" w:hAnsi="Arial" w:cs="Arial"/>
          <w:b/>
          <w:bCs/>
          <w:sz w:val="24"/>
          <w:szCs w:val="24"/>
        </w:rPr>
        <w:t>televisión</w:t>
      </w:r>
      <w:r w:rsidRPr="00861EF3">
        <w:rPr>
          <w:rFonts w:ascii="Arial" w:hAnsi="Arial" w:cs="Arial"/>
          <w:b/>
          <w:bCs/>
          <w:sz w:val="24"/>
          <w:szCs w:val="24"/>
        </w:rPr>
        <w:t xml:space="preserve"> lineal y digital </w:t>
      </w:r>
      <w:r w:rsidR="003D59D0" w:rsidRPr="00861EF3">
        <w:rPr>
          <w:rFonts w:ascii="Arial" w:hAnsi="Arial" w:cs="Arial"/>
          <w:b/>
          <w:bCs/>
          <w:sz w:val="24"/>
          <w:szCs w:val="24"/>
        </w:rPr>
        <w:t xml:space="preserve">concentra el 85% </w:t>
      </w:r>
      <w:r w:rsidRPr="00861EF3">
        <w:rPr>
          <w:rFonts w:ascii="Arial" w:hAnsi="Arial" w:cs="Arial"/>
          <w:b/>
          <w:bCs/>
          <w:sz w:val="24"/>
          <w:szCs w:val="24"/>
        </w:rPr>
        <w:t>del consumo audiovisual</w:t>
      </w:r>
      <w:r w:rsidR="003D59D0">
        <w:rPr>
          <w:rFonts w:ascii="Arial" w:hAnsi="Arial" w:cs="Arial"/>
          <w:bCs/>
          <w:sz w:val="24"/>
          <w:szCs w:val="24"/>
        </w:rPr>
        <w:t xml:space="preserve">, </w:t>
      </w:r>
      <w:r w:rsidR="00473EB7">
        <w:rPr>
          <w:rFonts w:ascii="Arial" w:hAnsi="Arial" w:cs="Arial"/>
          <w:bCs/>
          <w:sz w:val="24"/>
          <w:szCs w:val="24"/>
        </w:rPr>
        <w:t xml:space="preserve">casi </w:t>
      </w:r>
      <w:r w:rsidR="003D59D0">
        <w:rPr>
          <w:rFonts w:ascii="Arial" w:hAnsi="Arial" w:cs="Arial"/>
          <w:bCs/>
          <w:sz w:val="24"/>
          <w:szCs w:val="24"/>
        </w:rPr>
        <w:t xml:space="preserve">10 veces más que el vídeo en Internet </w:t>
      </w:r>
      <w:r>
        <w:rPr>
          <w:rFonts w:ascii="Arial" w:hAnsi="Arial" w:cs="Arial"/>
          <w:bCs/>
          <w:sz w:val="24"/>
          <w:szCs w:val="24"/>
        </w:rPr>
        <w:t xml:space="preserve">(9%) </w:t>
      </w:r>
      <w:r w:rsidR="003D59D0">
        <w:rPr>
          <w:rFonts w:ascii="Arial" w:hAnsi="Arial" w:cs="Arial"/>
          <w:bCs/>
          <w:sz w:val="24"/>
          <w:szCs w:val="24"/>
        </w:rPr>
        <w:t>y 15 veces más que las plataformas OTT</w:t>
      </w:r>
      <w:r>
        <w:rPr>
          <w:rFonts w:ascii="Arial" w:hAnsi="Arial" w:cs="Arial"/>
          <w:bCs/>
          <w:sz w:val="24"/>
          <w:szCs w:val="24"/>
        </w:rPr>
        <w:t xml:space="preserve"> (6%)</w:t>
      </w:r>
      <w:r w:rsidR="003D59D0">
        <w:rPr>
          <w:rFonts w:ascii="Arial" w:hAnsi="Arial" w:cs="Arial"/>
          <w:bCs/>
          <w:sz w:val="24"/>
          <w:szCs w:val="24"/>
        </w:rPr>
        <w:t>.</w:t>
      </w:r>
    </w:p>
    <w:p w14:paraId="793272AC" w14:textId="77777777" w:rsidR="00AA4AB0" w:rsidRPr="00AA4AB0" w:rsidRDefault="00AA4AB0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3FDF0F" w14:textId="53092F1C" w:rsidR="00153E9E" w:rsidRDefault="00AA4AB0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61EF3">
        <w:rPr>
          <w:rFonts w:ascii="Arial" w:hAnsi="Arial" w:cs="Arial"/>
          <w:b/>
          <w:bCs/>
          <w:sz w:val="24"/>
          <w:szCs w:val="24"/>
        </w:rPr>
        <w:lastRenderedPageBreak/>
        <w:t xml:space="preserve">El 91% del consumo </w:t>
      </w:r>
      <w:r w:rsidR="00861EF3" w:rsidRPr="00861EF3">
        <w:rPr>
          <w:rFonts w:ascii="Arial" w:hAnsi="Arial" w:cs="Arial"/>
          <w:b/>
          <w:bCs/>
          <w:sz w:val="24"/>
          <w:szCs w:val="24"/>
        </w:rPr>
        <w:t xml:space="preserve">que se hace </w:t>
      </w:r>
      <w:r w:rsidRPr="00861EF3">
        <w:rPr>
          <w:rFonts w:ascii="Arial" w:hAnsi="Arial" w:cs="Arial"/>
          <w:b/>
          <w:bCs/>
          <w:sz w:val="24"/>
          <w:szCs w:val="24"/>
        </w:rPr>
        <w:t>en la televisión corresponde a la televisión lineal</w:t>
      </w:r>
      <w:r w:rsidR="00256E45">
        <w:rPr>
          <w:rFonts w:ascii="Arial" w:hAnsi="Arial" w:cs="Arial"/>
          <w:b/>
          <w:bCs/>
          <w:sz w:val="24"/>
          <w:szCs w:val="24"/>
        </w:rPr>
        <w:t xml:space="preserve"> </w:t>
      </w:r>
      <w:r w:rsidR="00256E45" w:rsidRPr="00256E45">
        <w:rPr>
          <w:rFonts w:ascii="Arial" w:hAnsi="Arial" w:cs="Arial"/>
          <w:bCs/>
          <w:sz w:val="24"/>
          <w:szCs w:val="24"/>
        </w:rPr>
        <w:t>(302 minutos por espectador y día)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56E45">
        <w:rPr>
          <w:rFonts w:ascii="Arial" w:hAnsi="Arial" w:cs="Arial"/>
          <w:bCs/>
          <w:sz w:val="24"/>
          <w:szCs w:val="24"/>
        </w:rPr>
        <w:t xml:space="preserve">que </w:t>
      </w:r>
      <w:r w:rsidR="00256E45" w:rsidRPr="00256E45">
        <w:rPr>
          <w:rFonts w:ascii="Arial" w:hAnsi="Arial" w:cs="Arial"/>
          <w:b/>
          <w:bCs/>
          <w:sz w:val="24"/>
          <w:szCs w:val="24"/>
        </w:rPr>
        <w:t>multiplica por 10 al de las plataformas</w:t>
      </w:r>
      <w:r w:rsidR="00256E45">
        <w:rPr>
          <w:rFonts w:ascii="Arial" w:hAnsi="Arial" w:cs="Arial"/>
          <w:bCs/>
          <w:sz w:val="24"/>
          <w:szCs w:val="24"/>
        </w:rPr>
        <w:t xml:space="preserve"> (30 minutos), </w:t>
      </w:r>
      <w:r>
        <w:rPr>
          <w:rFonts w:ascii="Arial" w:hAnsi="Arial" w:cs="Arial"/>
          <w:bCs/>
          <w:sz w:val="24"/>
          <w:szCs w:val="24"/>
        </w:rPr>
        <w:t xml:space="preserve">a pesar del </w:t>
      </w:r>
      <w:r w:rsidR="00153E9E">
        <w:rPr>
          <w:rFonts w:ascii="Arial" w:hAnsi="Arial" w:cs="Arial"/>
          <w:bCs/>
          <w:sz w:val="24"/>
          <w:szCs w:val="24"/>
        </w:rPr>
        <w:t xml:space="preserve">incremento </w:t>
      </w:r>
      <w:r w:rsidR="00473EB7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53E9E" w:rsidRPr="00153E9E">
        <w:rPr>
          <w:rFonts w:ascii="Arial" w:hAnsi="Arial" w:cs="Arial"/>
          <w:bCs/>
          <w:sz w:val="24"/>
          <w:szCs w:val="24"/>
        </w:rPr>
        <w:t xml:space="preserve">la penetración </w:t>
      </w:r>
      <w:r w:rsidR="00256E45">
        <w:rPr>
          <w:rFonts w:ascii="Arial" w:hAnsi="Arial" w:cs="Arial"/>
          <w:bCs/>
          <w:sz w:val="24"/>
          <w:szCs w:val="24"/>
        </w:rPr>
        <w:t>de las OTT</w:t>
      </w:r>
      <w:r w:rsidRPr="00153E9E">
        <w:rPr>
          <w:rFonts w:ascii="Arial" w:hAnsi="Arial" w:cs="Arial"/>
          <w:bCs/>
          <w:sz w:val="24"/>
          <w:szCs w:val="24"/>
        </w:rPr>
        <w:t>, presentes</w:t>
      </w:r>
      <w:r w:rsidR="00153E9E">
        <w:rPr>
          <w:rFonts w:ascii="Arial" w:hAnsi="Arial" w:cs="Arial"/>
          <w:bCs/>
          <w:sz w:val="24"/>
          <w:szCs w:val="24"/>
        </w:rPr>
        <w:t xml:space="preserve"> en</w:t>
      </w:r>
      <w:r w:rsidRPr="00153E9E">
        <w:rPr>
          <w:rFonts w:ascii="Arial" w:hAnsi="Arial" w:cs="Arial"/>
          <w:bCs/>
          <w:sz w:val="24"/>
          <w:szCs w:val="24"/>
        </w:rPr>
        <w:t xml:space="preserve"> casi el 40% </w:t>
      </w:r>
      <w:r w:rsidR="00153E9E" w:rsidRPr="00153E9E">
        <w:rPr>
          <w:rFonts w:ascii="Arial" w:hAnsi="Arial" w:cs="Arial"/>
          <w:bCs/>
          <w:sz w:val="24"/>
          <w:szCs w:val="24"/>
        </w:rPr>
        <w:t xml:space="preserve">(7.251.000) </w:t>
      </w:r>
      <w:r w:rsidRPr="00153E9E">
        <w:rPr>
          <w:rFonts w:ascii="Arial" w:hAnsi="Arial" w:cs="Arial"/>
          <w:bCs/>
          <w:sz w:val="24"/>
          <w:szCs w:val="24"/>
        </w:rPr>
        <w:t xml:space="preserve">de </w:t>
      </w:r>
      <w:r w:rsidR="00153E9E" w:rsidRPr="00153E9E">
        <w:rPr>
          <w:rFonts w:ascii="Arial" w:hAnsi="Arial" w:cs="Arial"/>
          <w:bCs/>
          <w:sz w:val="24"/>
          <w:szCs w:val="24"/>
        </w:rPr>
        <w:t>los hogares</w:t>
      </w:r>
      <w:r w:rsidRPr="00153E9E">
        <w:rPr>
          <w:rFonts w:ascii="Arial" w:hAnsi="Arial" w:cs="Arial"/>
          <w:bCs/>
          <w:sz w:val="24"/>
          <w:szCs w:val="24"/>
        </w:rPr>
        <w:t>.</w:t>
      </w:r>
    </w:p>
    <w:p w14:paraId="00029AB3" w14:textId="77777777" w:rsidR="00861EF3" w:rsidRPr="00861EF3" w:rsidRDefault="00861EF3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039F4A" w14:textId="0451F46A" w:rsidR="00861EF3" w:rsidRDefault="00861EF3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los hogares con acceso a alguna OTT, </w:t>
      </w:r>
      <w:r w:rsidRPr="00861EF3">
        <w:rPr>
          <w:rFonts w:ascii="Arial" w:hAnsi="Arial" w:cs="Arial"/>
          <w:b/>
          <w:bCs/>
          <w:sz w:val="24"/>
          <w:szCs w:val="24"/>
        </w:rPr>
        <w:t xml:space="preserve">los espectadores dedican </w:t>
      </w:r>
      <w:r w:rsidR="00C46DDE">
        <w:rPr>
          <w:rFonts w:ascii="Arial" w:hAnsi="Arial" w:cs="Arial"/>
          <w:b/>
          <w:bCs/>
          <w:sz w:val="24"/>
          <w:szCs w:val="24"/>
        </w:rPr>
        <w:t xml:space="preserve">casi </w:t>
      </w:r>
      <w:r w:rsidRPr="00861EF3">
        <w:rPr>
          <w:rFonts w:ascii="Arial" w:hAnsi="Arial" w:cs="Arial"/>
          <w:b/>
          <w:bCs/>
          <w:sz w:val="24"/>
          <w:szCs w:val="24"/>
        </w:rPr>
        <w:t xml:space="preserve">cinco veces más de su tiempo a ver </w:t>
      </w:r>
      <w:r w:rsidR="00256E45">
        <w:rPr>
          <w:rFonts w:ascii="Arial" w:hAnsi="Arial" w:cs="Arial"/>
          <w:b/>
          <w:bCs/>
          <w:sz w:val="24"/>
          <w:szCs w:val="24"/>
        </w:rPr>
        <w:t>televisión</w:t>
      </w:r>
      <w:r w:rsidRPr="00861EF3">
        <w:rPr>
          <w:rFonts w:ascii="Arial" w:hAnsi="Arial" w:cs="Arial"/>
          <w:b/>
          <w:bCs/>
          <w:sz w:val="24"/>
          <w:szCs w:val="24"/>
        </w:rPr>
        <w:t xml:space="preserve"> lineal </w:t>
      </w:r>
      <w:r w:rsidR="00473EB7" w:rsidRPr="007F1691">
        <w:rPr>
          <w:rFonts w:ascii="Arial" w:hAnsi="Arial" w:cs="Arial"/>
          <w:bCs/>
          <w:sz w:val="24"/>
          <w:szCs w:val="24"/>
        </w:rPr>
        <w:t xml:space="preserve">(246 minutos) </w:t>
      </w:r>
      <w:r w:rsidRPr="007F1691">
        <w:rPr>
          <w:rFonts w:ascii="Arial" w:hAnsi="Arial" w:cs="Arial"/>
          <w:bCs/>
          <w:sz w:val="24"/>
          <w:szCs w:val="24"/>
        </w:rPr>
        <w:t>que a las plataformas</w:t>
      </w:r>
      <w:r w:rsidR="00473EB7" w:rsidRPr="007F1691">
        <w:rPr>
          <w:rFonts w:ascii="Arial" w:hAnsi="Arial" w:cs="Arial"/>
          <w:bCs/>
          <w:sz w:val="24"/>
          <w:szCs w:val="24"/>
        </w:rPr>
        <w:t xml:space="preserve"> (54 minutos)</w:t>
      </w:r>
      <w:r>
        <w:rPr>
          <w:rFonts w:ascii="Arial" w:hAnsi="Arial" w:cs="Arial"/>
          <w:bCs/>
          <w:sz w:val="24"/>
          <w:szCs w:val="24"/>
        </w:rPr>
        <w:t>.</w:t>
      </w:r>
    </w:p>
    <w:p w14:paraId="5F8B8C8C" w14:textId="77777777" w:rsidR="00473EB7" w:rsidRPr="00473EB7" w:rsidRDefault="00473EB7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2A7904" w14:textId="166103F9" w:rsidR="00690416" w:rsidRDefault="00473EB7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7F1691">
        <w:rPr>
          <w:rFonts w:ascii="Arial" w:hAnsi="Arial" w:cs="Arial"/>
          <w:b/>
          <w:bCs/>
          <w:sz w:val="24"/>
          <w:szCs w:val="24"/>
        </w:rPr>
        <w:t xml:space="preserve">crecimiento en el consumo es mayor entre los </w:t>
      </w:r>
      <w:r w:rsidRPr="007F1691">
        <w:rPr>
          <w:rFonts w:ascii="Arial" w:hAnsi="Arial" w:cs="Arial"/>
          <w:b/>
          <w:bCs/>
          <w:i/>
          <w:sz w:val="24"/>
          <w:szCs w:val="24"/>
        </w:rPr>
        <w:t>targets</w:t>
      </w:r>
      <w:r w:rsidRPr="007F1691">
        <w:rPr>
          <w:rFonts w:ascii="Arial" w:hAnsi="Arial" w:cs="Arial"/>
          <w:b/>
          <w:bCs/>
          <w:sz w:val="24"/>
          <w:szCs w:val="24"/>
        </w:rPr>
        <w:t xml:space="preserve"> más comerciales</w:t>
      </w:r>
      <w:r>
        <w:rPr>
          <w:rFonts w:ascii="Arial" w:hAnsi="Arial" w:cs="Arial"/>
          <w:bCs/>
          <w:sz w:val="24"/>
          <w:szCs w:val="24"/>
        </w:rPr>
        <w:t xml:space="preserve">: +47% entre los jóvenes de 16 a 34 años y +41% entre los espectadores del </w:t>
      </w:r>
      <w:proofErr w:type="gramStart"/>
      <w:r w:rsidRPr="007F1691">
        <w:rPr>
          <w:rFonts w:ascii="Arial" w:hAnsi="Arial" w:cs="Arial"/>
          <w:bCs/>
          <w:i/>
          <w:sz w:val="24"/>
          <w:szCs w:val="24"/>
        </w:rPr>
        <w:t>target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comercial y entre los niños de 4 a 12 años.</w:t>
      </w:r>
    </w:p>
    <w:p w14:paraId="56D6F881" w14:textId="77777777" w:rsidR="008C0BA8" w:rsidRPr="008C0BA8" w:rsidRDefault="008C0BA8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14027A" w14:textId="5D4D3787" w:rsidR="008C0BA8" w:rsidRDefault="008C0BA8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C46DDE">
        <w:rPr>
          <w:rFonts w:ascii="Arial" w:hAnsi="Arial" w:cs="Arial"/>
          <w:bCs/>
          <w:sz w:val="24"/>
          <w:szCs w:val="24"/>
        </w:rPr>
        <w:t xml:space="preserve">64% de </w:t>
      </w:r>
      <w:r w:rsidR="00C46DDE" w:rsidRPr="00C46DDE">
        <w:rPr>
          <w:rFonts w:ascii="Arial" w:hAnsi="Arial" w:cs="Arial"/>
          <w:bCs/>
          <w:sz w:val="24"/>
          <w:szCs w:val="24"/>
        </w:rPr>
        <w:t>l</w:t>
      </w:r>
      <w:r w:rsidR="00C46DDE">
        <w:rPr>
          <w:rFonts w:ascii="Arial" w:hAnsi="Arial" w:cs="Arial"/>
          <w:bCs/>
          <w:sz w:val="24"/>
          <w:szCs w:val="24"/>
        </w:rPr>
        <w:t xml:space="preserve">os individuos </w:t>
      </w:r>
      <w:r>
        <w:rPr>
          <w:rFonts w:ascii="Arial" w:hAnsi="Arial" w:cs="Arial"/>
          <w:bCs/>
          <w:sz w:val="24"/>
          <w:szCs w:val="24"/>
        </w:rPr>
        <w:t xml:space="preserve">reconoce que la </w:t>
      </w:r>
      <w:r w:rsidRPr="007F1691">
        <w:rPr>
          <w:rFonts w:ascii="Arial" w:hAnsi="Arial" w:cs="Arial"/>
          <w:b/>
          <w:bCs/>
          <w:sz w:val="24"/>
          <w:szCs w:val="24"/>
        </w:rPr>
        <w:t>televisión</w:t>
      </w:r>
      <w:r>
        <w:rPr>
          <w:rFonts w:ascii="Arial" w:hAnsi="Arial" w:cs="Arial"/>
          <w:bCs/>
          <w:sz w:val="24"/>
          <w:szCs w:val="24"/>
        </w:rPr>
        <w:t xml:space="preserve"> es su </w:t>
      </w:r>
      <w:r w:rsidRPr="007F1691">
        <w:rPr>
          <w:rFonts w:ascii="Arial" w:hAnsi="Arial" w:cs="Arial"/>
          <w:b/>
          <w:bCs/>
          <w:sz w:val="24"/>
          <w:szCs w:val="24"/>
        </w:rPr>
        <w:t>medio de referencia para informarse</w:t>
      </w:r>
      <w:r>
        <w:rPr>
          <w:rFonts w:ascii="Arial" w:hAnsi="Arial" w:cs="Arial"/>
          <w:bCs/>
          <w:sz w:val="24"/>
          <w:szCs w:val="24"/>
        </w:rPr>
        <w:t xml:space="preserve"> durante la crisis</w:t>
      </w:r>
      <w:r w:rsidR="007F1691">
        <w:rPr>
          <w:rFonts w:ascii="Arial" w:hAnsi="Arial" w:cs="Arial"/>
          <w:bCs/>
          <w:sz w:val="24"/>
          <w:szCs w:val="24"/>
        </w:rPr>
        <w:t>.</w:t>
      </w:r>
    </w:p>
    <w:p w14:paraId="2B1BA66A" w14:textId="77777777" w:rsidR="007F1691" w:rsidRPr="007F1691" w:rsidRDefault="007F1691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AE8470" w14:textId="6749BB63" w:rsidR="007F1691" w:rsidRDefault="007F1691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7F1691">
        <w:rPr>
          <w:rFonts w:ascii="Arial" w:hAnsi="Arial" w:cs="Arial"/>
          <w:b/>
          <w:bCs/>
          <w:sz w:val="24"/>
          <w:szCs w:val="24"/>
        </w:rPr>
        <w:t xml:space="preserve">60% </w:t>
      </w:r>
      <w:r w:rsidR="00C46DDE">
        <w:rPr>
          <w:rFonts w:ascii="Arial" w:hAnsi="Arial" w:cs="Arial"/>
          <w:b/>
          <w:bCs/>
          <w:sz w:val="24"/>
          <w:szCs w:val="24"/>
        </w:rPr>
        <w:t>la sitúa</w:t>
      </w:r>
      <w:r w:rsidRPr="007F1691">
        <w:rPr>
          <w:rFonts w:ascii="Arial" w:hAnsi="Arial" w:cs="Arial"/>
          <w:b/>
          <w:bCs/>
          <w:sz w:val="24"/>
          <w:szCs w:val="24"/>
        </w:rPr>
        <w:t xml:space="preserve"> como el medio preferido para entretenerse</w:t>
      </w:r>
      <w:r>
        <w:rPr>
          <w:rFonts w:ascii="Arial" w:hAnsi="Arial" w:cs="Arial"/>
          <w:bCs/>
          <w:sz w:val="24"/>
          <w:szCs w:val="24"/>
        </w:rPr>
        <w:t xml:space="preserve"> en el </w:t>
      </w:r>
      <w:r w:rsidR="00BC2A52">
        <w:rPr>
          <w:rFonts w:ascii="Arial" w:hAnsi="Arial" w:cs="Arial"/>
          <w:bCs/>
          <w:sz w:val="24"/>
          <w:szCs w:val="24"/>
        </w:rPr>
        <w:t xml:space="preserve">este </w:t>
      </w:r>
      <w:r>
        <w:rPr>
          <w:rFonts w:ascii="Arial" w:hAnsi="Arial" w:cs="Arial"/>
          <w:bCs/>
          <w:sz w:val="24"/>
          <w:szCs w:val="24"/>
        </w:rPr>
        <w:t>periodo.</w:t>
      </w:r>
    </w:p>
    <w:p w14:paraId="1A964858" w14:textId="77777777" w:rsidR="007F1691" w:rsidRPr="007F1691" w:rsidRDefault="007F1691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CA6A95" w14:textId="68CFC7EF" w:rsidR="007F1691" w:rsidRDefault="007F1691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el </w:t>
      </w:r>
      <w:r w:rsidRPr="007F1691">
        <w:rPr>
          <w:rFonts w:ascii="Arial" w:hAnsi="Arial" w:cs="Arial"/>
          <w:bCs/>
          <w:sz w:val="24"/>
          <w:szCs w:val="24"/>
        </w:rPr>
        <w:t xml:space="preserve">confinamiento, </w:t>
      </w:r>
      <w:r w:rsidRPr="007F1691">
        <w:rPr>
          <w:rFonts w:ascii="Arial" w:hAnsi="Arial" w:cs="Arial"/>
          <w:b/>
          <w:bCs/>
          <w:sz w:val="24"/>
          <w:szCs w:val="24"/>
        </w:rPr>
        <w:t>la</w:t>
      </w:r>
      <w:r w:rsidRPr="007F1691">
        <w:rPr>
          <w:rFonts w:ascii="Arial" w:hAnsi="Arial" w:cs="Arial"/>
          <w:bCs/>
          <w:sz w:val="24"/>
          <w:szCs w:val="24"/>
        </w:rPr>
        <w:t xml:space="preserve"> </w:t>
      </w:r>
      <w:r w:rsidRPr="007F1691">
        <w:rPr>
          <w:rFonts w:ascii="Arial" w:hAnsi="Arial" w:cs="Arial"/>
          <w:b/>
          <w:bCs/>
          <w:sz w:val="24"/>
          <w:szCs w:val="24"/>
        </w:rPr>
        <w:t>notoriedad publicitaria se ha incrementado en un 90%</w:t>
      </w:r>
      <w:r w:rsidRPr="007F1691">
        <w:rPr>
          <w:rFonts w:ascii="Arial" w:hAnsi="Arial" w:cs="Arial"/>
          <w:bCs/>
          <w:sz w:val="24"/>
          <w:szCs w:val="24"/>
        </w:rPr>
        <w:t xml:space="preserve"> </w:t>
      </w:r>
      <w:r w:rsidRPr="004B792E">
        <w:rPr>
          <w:rFonts w:ascii="Arial" w:hAnsi="Arial" w:cs="Arial"/>
          <w:b/>
          <w:bCs/>
          <w:sz w:val="24"/>
          <w:szCs w:val="24"/>
        </w:rPr>
        <w:t>respecto al periodo anterior a la crisis</w:t>
      </w:r>
      <w:r w:rsidRPr="007F1691">
        <w:rPr>
          <w:rFonts w:ascii="Arial" w:hAnsi="Arial" w:cs="Arial"/>
          <w:bCs/>
          <w:sz w:val="24"/>
          <w:szCs w:val="24"/>
        </w:rPr>
        <w:t xml:space="preserve"> sanitaria</w:t>
      </w:r>
      <w:r>
        <w:rPr>
          <w:rFonts w:ascii="Arial" w:hAnsi="Arial" w:cs="Arial"/>
          <w:bCs/>
          <w:sz w:val="24"/>
          <w:szCs w:val="24"/>
        </w:rPr>
        <w:t xml:space="preserve">, especialmente entre aquellos anunciantes que mantienen o incrementan </w:t>
      </w:r>
      <w:r w:rsidR="0079603E">
        <w:rPr>
          <w:rFonts w:ascii="Arial" w:hAnsi="Arial" w:cs="Arial"/>
          <w:bCs/>
          <w:sz w:val="24"/>
          <w:szCs w:val="24"/>
        </w:rPr>
        <w:t>la presencia de sus campañas</w:t>
      </w:r>
      <w:r w:rsidR="00174410">
        <w:rPr>
          <w:rFonts w:ascii="Arial" w:hAnsi="Arial" w:cs="Arial"/>
          <w:bCs/>
          <w:sz w:val="24"/>
          <w:szCs w:val="24"/>
        </w:rPr>
        <w:t>.</w:t>
      </w:r>
    </w:p>
    <w:p w14:paraId="6E435C42" w14:textId="77777777" w:rsidR="007F1691" w:rsidRPr="007F1691" w:rsidRDefault="007F1691" w:rsidP="00174410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0A3941" w14:textId="5F72D2D2" w:rsidR="007F1691" w:rsidRDefault="007F1691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4B792E">
        <w:rPr>
          <w:rFonts w:ascii="Arial" w:hAnsi="Arial" w:cs="Arial"/>
          <w:b/>
          <w:bCs/>
          <w:sz w:val="24"/>
          <w:szCs w:val="24"/>
        </w:rPr>
        <w:t>televisión</w:t>
      </w:r>
      <w:r>
        <w:rPr>
          <w:rFonts w:ascii="Arial" w:hAnsi="Arial" w:cs="Arial"/>
          <w:bCs/>
          <w:sz w:val="24"/>
          <w:szCs w:val="24"/>
        </w:rPr>
        <w:t xml:space="preserve"> se mantiene como el </w:t>
      </w:r>
      <w:r w:rsidRPr="004B792E">
        <w:rPr>
          <w:rFonts w:ascii="Arial" w:hAnsi="Arial" w:cs="Arial"/>
          <w:b/>
          <w:bCs/>
          <w:sz w:val="24"/>
          <w:szCs w:val="24"/>
        </w:rPr>
        <w:t>medio que más notoriedad aporta a las marcas</w:t>
      </w:r>
      <w:r>
        <w:rPr>
          <w:rFonts w:ascii="Arial" w:hAnsi="Arial" w:cs="Arial"/>
          <w:bCs/>
          <w:sz w:val="24"/>
          <w:szCs w:val="24"/>
        </w:rPr>
        <w:t>, con un 41,3%</w:t>
      </w:r>
      <w:r w:rsidR="00174410">
        <w:rPr>
          <w:rFonts w:ascii="Arial" w:hAnsi="Arial" w:cs="Arial"/>
          <w:bCs/>
          <w:sz w:val="24"/>
          <w:szCs w:val="24"/>
        </w:rPr>
        <w:t>, duplicando al siguiente soporte en el ranking</w:t>
      </w:r>
      <w:r w:rsidR="00232870">
        <w:rPr>
          <w:rFonts w:ascii="Arial" w:hAnsi="Arial" w:cs="Arial"/>
          <w:bCs/>
          <w:sz w:val="24"/>
          <w:szCs w:val="24"/>
        </w:rPr>
        <w:t>, Internet</w:t>
      </w:r>
      <w:r w:rsidR="004D50E7">
        <w:rPr>
          <w:rFonts w:ascii="Arial" w:hAnsi="Arial" w:cs="Arial"/>
          <w:bCs/>
          <w:sz w:val="24"/>
          <w:szCs w:val="24"/>
        </w:rPr>
        <w:t xml:space="preserve"> (20,5%) y Publicidad Exterior (16,9%).</w:t>
      </w:r>
    </w:p>
    <w:p w14:paraId="22AB1AAD" w14:textId="77777777" w:rsidR="0046172B" w:rsidRPr="0046172B" w:rsidRDefault="0046172B" w:rsidP="0046172B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5045D938" w14:textId="6F6E5246" w:rsidR="0046172B" w:rsidRPr="007F1691" w:rsidRDefault="0046172B" w:rsidP="001744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espectadores </w:t>
      </w:r>
      <w:r>
        <w:rPr>
          <w:rFonts w:ascii="Arial" w:hAnsi="Arial" w:cs="Arial"/>
          <w:bCs/>
          <w:sz w:val="24"/>
          <w:szCs w:val="24"/>
        </w:rPr>
        <w:t>valoran más positivamente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166A3">
        <w:rPr>
          <w:rFonts w:ascii="Arial" w:hAnsi="Arial" w:cs="Arial"/>
          <w:b/>
          <w:bCs/>
          <w:sz w:val="24"/>
          <w:szCs w:val="24"/>
        </w:rPr>
        <w:t>publicidad con mensajes esperanzadores y optimistas o una comunicación normalizada</w:t>
      </w:r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001927C6" w14:textId="0CFB74B3" w:rsidR="003D59D0" w:rsidRDefault="003D59D0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5B8C195" w14:textId="77777777" w:rsidR="007A6351" w:rsidRDefault="007A6351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F1A8C80" w14:textId="38F10D2C" w:rsidR="003D59D0" w:rsidRPr="00BC2A52" w:rsidRDefault="003D59D0" w:rsidP="001744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i/>
          <w:sz w:val="18"/>
          <w:szCs w:val="18"/>
        </w:rPr>
      </w:pPr>
      <w:r w:rsidRPr="00BC2A52">
        <w:rPr>
          <w:rFonts w:ascii="Arial" w:hAnsi="Arial" w:cs="Arial"/>
          <w:bCs/>
          <w:i/>
          <w:sz w:val="18"/>
          <w:szCs w:val="18"/>
        </w:rPr>
        <w:t>Fuentes: Kantar Media</w:t>
      </w:r>
      <w:r w:rsidR="00BB6BB9" w:rsidRPr="00BC2A52">
        <w:rPr>
          <w:rFonts w:ascii="Arial" w:hAnsi="Arial" w:cs="Arial"/>
          <w:bCs/>
          <w:i/>
          <w:sz w:val="18"/>
          <w:szCs w:val="18"/>
        </w:rPr>
        <w:t xml:space="preserve"> Consumo de minutos Lineal + Diferido / Kantar Media. Datos TV y </w:t>
      </w:r>
      <w:proofErr w:type="spellStart"/>
      <w:r w:rsidR="00BB6BB9" w:rsidRPr="00BC2A52">
        <w:rPr>
          <w:rFonts w:ascii="Arial" w:hAnsi="Arial" w:cs="Arial"/>
          <w:bCs/>
          <w:i/>
          <w:sz w:val="18"/>
          <w:szCs w:val="18"/>
        </w:rPr>
        <w:t>OTTs</w:t>
      </w:r>
      <w:proofErr w:type="spellEnd"/>
      <w:r w:rsidR="00BB6BB9" w:rsidRPr="00BC2A52">
        <w:rPr>
          <w:rFonts w:ascii="Arial" w:hAnsi="Arial" w:cs="Arial"/>
          <w:bCs/>
          <w:i/>
          <w:sz w:val="18"/>
          <w:szCs w:val="18"/>
        </w:rPr>
        <w:t xml:space="preserve">. Kantar Media. </w:t>
      </w:r>
      <w:proofErr w:type="gramStart"/>
      <w:r w:rsidR="00BB6BB9" w:rsidRPr="00BC2A52">
        <w:rPr>
          <w:rFonts w:ascii="Arial" w:hAnsi="Arial" w:cs="Arial"/>
          <w:bCs/>
          <w:i/>
          <w:sz w:val="18"/>
          <w:szCs w:val="18"/>
        </w:rPr>
        <w:t>Total</w:t>
      </w:r>
      <w:proofErr w:type="gramEnd"/>
      <w:r w:rsidR="00BB6BB9" w:rsidRPr="00BC2A52">
        <w:rPr>
          <w:rFonts w:ascii="Arial" w:hAnsi="Arial" w:cs="Arial"/>
          <w:bCs/>
          <w:i/>
          <w:sz w:val="18"/>
          <w:szCs w:val="18"/>
        </w:rPr>
        <w:t xml:space="preserve"> TTV + Internet Abril 2019</w:t>
      </w:r>
      <w:r w:rsidR="008C0BA8" w:rsidRPr="00BC2A52">
        <w:rPr>
          <w:rFonts w:ascii="Arial" w:hAnsi="Arial" w:cs="Arial"/>
          <w:bCs/>
          <w:i/>
          <w:sz w:val="18"/>
          <w:szCs w:val="18"/>
        </w:rPr>
        <w:t xml:space="preserve"> </w:t>
      </w:r>
      <w:r w:rsidR="00BB6BB9" w:rsidRPr="00BC2A52">
        <w:rPr>
          <w:rFonts w:ascii="Arial" w:hAnsi="Arial" w:cs="Arial"/>
          <w:bCs/>
          <w:i/>
          <w:sz w:val="18"/>
          <w:szCs w:val="18"/>
        </w:rPr>
        <w:t>/</w:t>
      </w:r>
      <w:r w:rsidR="008C0BA8" w:rsidRPr="00BC2A52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A4AB0" w:rsidRPr="00BC2A52">
        <w:rPr>
          <w:rFonts w:ascii="Arial" w:hAnsi="Arial" w:cs="Arial"/>
          <w:bCs/>
          <w:i/>
          <w:sz w:val="18"/>
          <w:szCs w:val="18"/>
        </w:rPr>
        <w:t>ComScore</w:t>
      </w:r>
      <w:proofErr w:type="spellEnd"/>
      <w:r w:rsidRPr="00BC2A52">
        <w:rPr>
          <w:rFonts w:ascii="Arial" w:hAnsi="Arial" w:cs="Arial"/>
          <w:bCs/>
          <w:i/>
          <w:sz w:val="18"/>
          <w:szCs w:val="18"/>
        </w:rPr>
        <w:t>.</w:t>
      </w:r>
      <w:r w:rsidR="00153E9E" w:rsidRPr="00BC2A52">
        <w:rPr>
          <w:rFonts w:ascii="Arial" w:hAnsi="Arial" w:cs="Arial"/>
          <w:bCs/>
          <w:i/>
          <w:sz w:val="18"/>
          <w:szCs w:val="18"/>
        </w:rPr>
        <w:t xml:space="preserve"> </w:t>
      </w:r>
      <w:r w:rsidR="00BB6BB9" w:rsidRPr="00BC2A52">
        <w:rPr>
          <w:rFonts w:ascii="Arial" w:hAnsi="Arial" w:cs="Arial"/>
          <w:bCs/>
          <w:i/>
          <w:sz w:val="18"/>
          <w:szCs w:val="18"/>
        </w:rPr>
        <w:t xml:space="preserve">Datos TV online e Internet. Estimación TV online </w:t>
      </w:r>
      <w:proofErr w:type="spellStart"/>
      <w:r w:rsidR="00BB6BB9" w:rsidRPr="00BC2A52">
        <w:rPr>
          <w:rFonts w:ascii="Arial" w:hAnsi="Arial" w:cs="Arial"/>
          <w:bCs/>
          <w:i/>
          <w:sz w:val="18"/>
          <w:szCs w:val="18"/>
        </w:rPr>
        <w:t>ComScore</w:t>
      </w:r>
      <w:proofErr w:type="spellEnd"/>
      <w:r w:rsidR="00BB6BB9" w:rsidRPr="00BC2A52">
        <w:rPr>
          <w:rFonts w:ascii="Arial" w:hAnsi="Arial" w:cs="Arial"/>
          <w:bCs/>
          <w:i/>
          <w:sz w:val="18"/>
          <w:szCs w:val="18"/>
        </w:rPr>
        <w:t xml:space="preserve"> abril 2019 / </w:t>
      </w:r>
      <w:r w:rsidR="00153E9E" w:rsidRPr="00BC2A52">
        <w:rPr>
          <w:rFonts w:ascii="Arial" w:hAnsi="Arial" w:cs="Arial"/>
          <w:bCs/>
          <w:i/>
          <w:sz w:val="18"/>
          <w:szCs w:val="18"/>
        </w:rPr>
        <w:t>EGM Primera Ola</w:t>
      </w:r>
      <w:r w:rsidR="00BB6BB9" w:rsidRPr="00BC2A52">
        <w:rPr>
          <w:rFonts w:ascii="Arial" w:hAnsi="Arial" w:cs="Arial"/>
          <w:bCs/>
          <w:i/>
          <w:sz w:val="18"/>
          <w:szCs w:val="18"/>
        </w:rPr>
        <w:t>.</w:t>
      </w:r>
      <w:r w:rsidR="00153E9E" w:rsidRPr="00BC2A52">
        <w:rPr>
          <w:rFonts w:ascii="Arial" w:hAnsi="Arial" w:cs="Arial"/>
          <w:bCs/>
          <w:i/>
          <w:sz w:val="18"/>
          <w:szCs w:val="18"/>
        </w:rPr>
        <w:t xml:space="preserve"> 2020 Penetración OTT en hogares</w:t>
      </w:r>
      <w:r w:rsidR="008C0BA8" w:rsidRPr="00BC2A52">
        <w:rPr>
          <w:rFonts w:ascii="Arial" w:hAnsi="Arial" w:cs="Arial"/>
          <w:bCs/>
          <w:i/>
          <w:sz w:val="18"/>
          <w:szCs w:val="18"/>
        </w:rPr>
        <w:t xml:space="preserve"> / GFK Coronavirus Tracking Pulse</w:t>
      </w:r>
      <w:r w:rsidR="004B792E" w:rsidRPr="00BC2A52">
        <w:rPr>
          <w:rFonts w:ascii="Arial" w:hAnsi="Arial" w:cs="Arial"/>
          <w:bCs/>
          <w:i/>
          <w:sz w:val="18"/>
          <w:szCs w:val="18"/>
        </w:rPr>
        <w:t xml:space="preserve"> / CIMEC Ola Marzo 2020 vs. Ola Enero-Febrero 2020 Notoriedad total.</w:t>
      </w:r>
      <w:r w:rsidR="00DE56D9" w:rsidRPr="00BC2A52">
        <w:rPr>
          <w:rFonts w:ascii="Arial" w:hAnsi="Arial" w:cs="Arial"/>
          <w:bCs/>
          <w:i/>
          <w:sz w:val="18"/>
          <w:szCs w:val="18"/>
        </w:rPr>
        <w:t xml:space="preserve"> / </w:t>
      </w:r>
      <w:proofErr w:type="spellStart"/>
      <w:r w:rsidR="00DE56D9" w:rsidRPr="00BC2A52">
        <w:rPr>
          <w:rFonts w:ascii="Arial" w:hAnsi="Arial" w:cs="Arial"/>
          <w:bCs/>
          <w:i/>
          <w:sz w:val="18"/>
          <w:szCs w:val="18"/>
        </w:rPr>
        <w:t>Toluna</w:t>
      </w:r>
      <w:proofErr w:type="spellEnd"/>
      <w:r w:rsidR="00DE56D9" w:rsidRPr="00BC2A52">
        <w:rPr>
          <w:rFonts w:ascii="Arial" w:hAnsi="Arial" w:cs="Arial"/>
          <w:bCs/>
          <w:i/>
          <w:sz w:val="18"/>
          <w:szCs w:val="18"/>
        </w:rPr>
        <w:t xml:space="preserve"> Abril 2020.</w:t>
      </w:r>
    </w:p>
    <w:p w14:paraId="5BCED987" w14:textId="297BF19A" w:rsidR="003D59D0" w:rsidRPr="0025736B" w:rsidRDefault="003D59D0" w:rsidP="00174410">
      <w:pPr>
        <w:autoSpaceDE w:val="0"/>
        <w:autoSpaceDN w:val="0"/>
        <w:adjustRightInd w:val="0"/>
        <w:spacing w:after="0" w:line="240" w:lineRule="auto"/>
        <w:ind w:left="1416" w:right="-1" w:hanging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sectPr w:rsidR="003D59D0" w:rsidRPr="0025736B" w:rsidSect="00C46DDE">
      <w:footerReference w:type="default" r:id="rId9"/>
      <w:pgSz w:w="11906" w:h="16838"/>
      <w:pgMar w:top="1417" w:right="1701" w:bottom="165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4647" w14:textId="77777777" w:rsidR="002813AF" w:rsidRDefault="002813AF">
      <w:pPr>
        <w:spacing w:after="0" w:line="240" w:lineRule="auto"/>
      </w:pPr>
      <w:r>
        <w:separator/>
      </w:r>
    </w:p>
  </w:endnote>
  <w:endnote w:type="continuationSeparator" w:id="0">
    <w:p w14:paraId="45936AFF" w14:textId="77777777" w:rsidR="002813AF" w:rsidRDefault="0028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461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560C" w14:textId="77777777" w:rsidR="002813AF" w:rsidRDefault="002813AF">
      <w:pPr>
        <w:spacing w:after="0" w:line="240" w:lineRule="auto"/>
      </w:pPr>
      <w:r>
        <w:separator/>
      </w:r>
    </w:p>
  </w:footnote>
  <w:footnote w:type="continuationSeparator" w:id="0">
    <w:p w14:paraId="30874E74" w14:textId="77777777" w:rsidR="002813AF" w:rsidRDefault="0028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4CD0"/>
    <w:multiLevelType w:val="hybridMultilevel"/>
    <w:tmpl w:val="A00C7C04"/>
    <w:lvl w:ilvl="0" w:tplc="B1C2F28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0F4D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166A3"/>
    <w:rsid w:val="001268C2"/>
    <w:rsid w:val="00127ADC"/>
    <w:rsid w:val="00131579"/>
    <w:rsid w:val="00132773"/>
    <w:rsid w:val="00135516"/>
    <w:rsid w:val="001360BA"/>
    <w:rsid w:val="001375C3"/>
    <w:rsid w:val="0014144E"/>
    <w:rsid w:val="00141EEB"/>
    <w:rsid w:val="00143E85"/>
    <w:rsid w:val="00146ADF"/>
    <w:rsid w:val="00153E9E"/>
    <w:rsid w:val="00155FF1"/>
    <w:rsid w:val="001614FA"/>
    <w:rsid w:val="00167820"/>
    <w:rsid w:val="00171DAE"/>
    <w:rsid w:val="001739E1"/>
    <w:rsid w:val="00174336"/>
    <w:rsid w:val="00174410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2870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6E45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13AF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2F7B5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59D0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172B"/>
    <w:rsid w:val="004637BF"/>
    <w:rsid w:val="00472F06"/>
    <w:rsid w:val="00473EB7"/>
    <w:rsid w:val="00476638"/>
    <w:rsid w:val="00476709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B792E"/>
    <w:rsid w:val="004C5A8F"/>
    <w:rsid w:val="004D1180"/>
    <w:rsid w:val="004D3068"/>
    <w:rsid w:val="004D50E7"/>
    <w:rsid w:val="004D7AA0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43BBB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0416"/>
    <w:rsid w:val="00692CF9"/>
    <w:rsid w:val="00695426"/>
    <w:rsid w:val="006B1164"/>
    <w:rsid w:val="006B7A0C"/>
    <w:rsid w:val="006C1414"/>
    <w:rsid w:val="006C198B"/>
    <w:rsid w:val="006C262C"/>
    <w:rsid w:val="006C7436"/>
    <w:rsid w:val="006D21B7"/>
    <w:rsid w:val="006D2AE1"/>
    <w:rsid w:val="006D5309"/>
    <w:rsid w:val="006D66FA"/>
    <w:rsid w:val="006D6C3B"/>
    <w:rsid w:val="006E2624"/>
    <w:rsid w:val="006E460D"/>
    <w:rsid w:val="006E6A7B"/>
    <w:rsid w:val="006E6B23"/>
    <w:rsid w:val="006F2A2A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603E"/>
    <w:rsid w:val="00797EB7"/>
    <w:rsid w:val="007A03D9"/>
    <w:rsid w:val="007A03E7"/>
    <w:rsid w:val="007A0790"/>
    <w:rsid w:val="007A1F81"/>
    <w:rsid w:val="007A4873"/>
    <w:rsid w:val="007A4ED0"/>
    <w:rsid w:val="007A6351"/>
    <w:rsid w:val="007B3DAD"/>
    <w:rsid w:val="007B5343"/>
    <w:rsid w:val="007B7B6F"/>
    <w:rsid w:val="007C4458"/>
    <w:rsid w:val="007C4BDA"/>
    <w:rsid w:val="007C6BEA"/>
    <w:rsid w:val="007D26AC"/>
    <w:rsid w:val="007E1B94"/>
    <w:rsid w:val="007E1D5A"/>
    <w:rsid w:val="007E58DE"/>
    <w:rsid w:val="007E6D41"/>
    <w:rsid w:val="007F169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4322"/>
    <w:rsid w:val="00845F6F"/>
    <w:rsid w:val="0085226D"/>
    <w:rsid w:val="00852EF1"/>
    <w:rsid w:val="008530F5"/>
    <w:rsid w:val="00855EDB"/>
    <w:rsid w:val="00857E7F"/>
    <w:rsid w:val="00861B77"/>
    <w:rsid w:val="00861EF3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0BA8"/>
    <w:rsid w:val="008C1EC5"/>
    <w:rsid w:val="008C40F1"/>
    <w:rsid w:val="008C7FAA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7DB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26CC0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4AB0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1FBA"/>
    <w:rsid w:val="00BB3238"/>
    <w:rsid w:val="00BB629B"/>
    <w:rsid w:val="00BB6BB9"/>
    <w:rsid w:val="00BC2A52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46792"/>
    <w:rsid w:val="00C46DDE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2D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6D9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4748A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5567B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2B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C64B-B637-4DCB-AED2-A9DE8CF1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2020-03-04T12:44:00Z</cp:lastPrinted>
  <dcterms:created xsi:type="dcterms:W3CDTF">2020-05-06T17:26:00Z</dcterms:created>
  <dcterms:modified xsi:type="dcterms:W3CDTF">2020-05-07T10:33:00Z</dcterms:modified>
</cp:coreProperties>
</file>