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536FBF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3937635</wp:posOffset>
            </wp:positionH>
            <wp:positionV relativeFrom="margin">
              <wp:posOffset>-240522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324F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A57A0">
        <w:rPr>
          <w:rFonts w:ascii="Arial" w:eastAsia="Times New Roman" w:hAnsi="Arial" w:cs="Arial"/>
          <w:sz w:val="24"/>
          <w:szCs w:val="24"/>
          <w:lang w:eastAsia="es-ES"/>
        </w:rPr>
        <w:t xml:space="preserve">7 </w:t>
      </w:r>
      <w:r w:rsidR="00595860">
        <w:rPr>
          <w:rFonts w:ascii="Arial" w:eastAsia="Times New Roman" w:hAnsi="Arial" w:cs="Arial"/>
          <w:sz w:val="24"/>
          <w:szCs w:val="24"/>
          <w:lang w:eastAsia="es-ES"/>
        </w:rPr>
        <w:t>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536FBF">
      <w:pPr>
        <w:ind w:right="-1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sábado 25 y domingo 26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3E7BA6" w:rsidRDefault="005A57A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Fin de semana de récords en Telecinco</w:t>
      </w:r>
      <w:r w:rsidR="00536FB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</w:t>
      </w:r>
      <w:r w:rsidR="00FF4A8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Informativos</w:t>
      </w:r>
      <w:r w:rsidR="00FF4A8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FF4A8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‘Supervivientes’,</w:t>
      </w:r>
      <w:r w:rsidR="00812C2B" w:rsidRPr="00812C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812C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‘Viva la vida’</w:t>
      </w:r>
      <w:r w:rsidR="00812C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812C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‘Sábado </w:t>
      </w:r>
      <w:proofErr w:type="spellStart"/>
      <w:r w:rsidR="00812C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Deluxe</w:t>
      </w:r>
      <w:proofErr w:type="spellEnd"/>
      <w:r w:rsidR="00812C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FF4A8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</w:t>
      </w:r>
      <w:r w:rsidR="00812C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proofErr w:type="spellStart"/>
      <w:r w:rsidR="00812C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Socialité</w:t>
      </w:r>
      <w:proofErr w:type="spellEnd"/>
      <w:r w:rsidR="00812C2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máximos</w:t>
      </w:r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E6340" w:rsidRDefault="0039668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la</w:t>
      </w:r>
      <w:r w:rsidR="005A57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sábado y del domingo y de las principales franjas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</w:t>
      </w:r>
      <w:r w:rsidR="005A57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igualó ayer su segundo mejor domingo de la temporada.</w:t>
      </w:r>
    </w:p>
    <w:p w:rsidR="005A57A0" w:rsidRDefault="005A57A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A57A0" w:rsidRDefault="005A57A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Emitió las tres emisiones con mayor audiencia </w:t>
      </w:r>
      <w:r w:rsidR="003966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ambos días y fue la cadena preferida para seguir el sábado la comparecencia del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Presidente</w:t>
      </w:r>
      <w:proofErr w:type="gramEnd"/>
      <w:r w:rsidR="003966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Gobierno.</w:t>
      </w:r>
    </w:p>
    <w:p w:rsidR="00917841" w:rsidRDefault="0091784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17841" w:rsidRPr="004630C0" w:rsidRDefault="0020766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 firmó su emisión más vista en sábado desde marzo de 2008</w:t>
      </w:r>
      <w:r w:rsidR="00812C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registró su mejor marca de espectadores desde octubre de 2013</w:t>
      </w:r>
      <w:r w:rsidR="00812C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Récords históricos para ‘Viva la vida’ en sábado y ‘</w:t>
      </w:r>
      <w:proofErr w:type="spellStart"/>
      <w:r w:rsidR="00812C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="00812C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812C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812C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ayer domingo.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  <w:bookmarkStart w:id="0" w:name="_GoBack"/>
      <w:bookmarkEnd w:id="0"/>
    </w:p>
    <w:p w:rsidR="005E3A5C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6165D">
        <w:rPr>
          <w:rFonts w:ascii="Arial" w:eastAsia="Times New Roman" w:hAnsi="Arial" w:cs="Arial"/>
          <w:bCs/>
          <w:sz w:val="24"/>
          <w:szCs w:val="24"/>
          <w:lang w:eastAsia="es-ES"/>
        </w:rPr>
        <w:t>Un fin de semana más,</w:t>
      </w:r>
      <w:r w:rsidRPr="005E3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 </w:t>
      </w:r>
      <w:r w:rsidRPr="00D6165D">
        <w:rPr>
          <w:rFonts w:ascii="Arial" w:eastAsia="Times New Roman" w:hAnsi="Arial" w:cs="Arial"/>
          <w:bCs/>
          <w:sz w:val="24"/>
          <w:szCs w:val="24"/>
          <w:lang w:eastAsia="es-ES"/>
        </w:rPr>
        <w:t>volvió a ser la</w:t>
      </w:r>
      <w:r w:rsidRPr="005E3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gran referencia de los espectadores con su oferta de información y entretenimiento. </w:t>
      </w:r>
      <w:r w:rsidRPr="00D61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Pr="005E3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más vista tanto el sábado como el domingo</w:t>
      </w:r>
      <w:r w:rsidR="00D6165D" w:rsidRPr="00D6165D">
        <w:rPr>
          <w:rFonts w:ascii="Arial" w:eastAsia="Times New Roman" w:hAnsi="Arial" w:cs="Arial"/>
          <w:bCs/>
          <w:sz w:val="24"/>
          <w:szCs w:val="24"/>
          <w:lang w:eastAsia="es-ES"/>
        </w:rPr>
        <w:t>, en</w:t>
      </w:r>
      <w:r w:rsidRPr="00D616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prácticamente </w:t>
      </w:r>
      <w:r w:rsidRPr="005E3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todas las franjas horarias </w:t>
      </w:r>
      <w:r w:rsidRPr="00D6165D">
        <w:rPr>
          <w:rFonts w:ascii="Arial" w:eastAsia="Times New Roman" w:hAnsi="Arial" w:cs="Arial"/>
          <w:bCs/>
          <w:sz w:val="24"/>
          <w:szCs w:val="24"/>
          <w:lang w:eastAsia="es-ES"/>
        </w:rPr>
        <w:t>y ofreció</w:t>
      </w:r>
      <w:r w:rsidRPr="005E3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6165D">
        <w:rPr>
          <w:rFonts w:ascii="Arial" w:eastAsia="Times New Roman" w:hAnsi="Arial" w:cs="Arial"/>
          <w:bCs/>
          <w:sz w:val="24"/>
          <w:szCs w:val="24"/>
          <w:lang w:eastAsia="es-ES"/>
        </w:rPr>
        <w:t>las</w:t>
      </w:r>
      <w:r w:rsidRPr="005E3A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tres emisiones más vistas de ambos días</w:t>
      </w:r>
      <w:r w:rsidRPr="00D6165D">
        <w:rPr>
          <w:rFonts w:ascii="Arial" w:eastAsia="Times New Roman" w:hAnsi="Arial" w:cs="Arial"/>
          <w:bCs/>
          <w:sz w:val="24"/>
          <w:szCs w:val="24"/>
          <w:lang w:eastAsia="es-ES"/>
        </w:rPr>
        <w:t>, registrando diferentes récords en su oferta de programas de producción propia y ediciones informativas.</w:t>
      </w:r>
    </w:p>
    <w:p w:rsidR="005E3A5C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16AD6" w:rsidRDefault="004016A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016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</w:t>
      </w:r>
      <w:r w:rsidR="003966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es: Conexión Honduras</w:t>
      </w:r>
      <w:r w:rsidRPr="004016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96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el </w:t>
      </w:r>
      <w:r w:rsidR="00396687"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más visto del domingo</w:t>
      </w:r>
      <w:r w:rsidR="00396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3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marco un nuevo </w:t>
      </w:r>
      <w:r w:rsidR="001A360C"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de espectadores</w:t>
      </w:r>
      <w:r w:rsidR="001A3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presente edición con una</w:t>
      </w:r>
      <w:r w:rsidR="00396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media de </w:t>
      </w:r>
      <w:r w:rsidR="00396687"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A360C"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396687"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328.000 espectadores</w:t>
      </w:r>
      <w:r w:rsidR="001A360C"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96687"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21,5% de </w:t>
      </w:r>
      <w:r w:rsidR="00396687" w:rsidRPr="00812C2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4F496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22E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3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acogió el </w:t>
      </w:r>
      <w:r w:rsidR="001A360C" w:rsidRPr="00812C2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1A360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1A360C">
        <w:rPr>
          <w:rFonts w:ascii="Arial" w:eastAsia="Times New Roman" w:hAnsi="Arial" w:cs="Arial"/>
          <w:bCs/>
          <w:sz w:val="24"/>
          <w:szCs w:val="24"/>
          <w:lang w:eastAsia="es-ES"/>
        </w:rPr>
        <w:t>del día a las 22:52 horas con 4.005.000 espectadores, un 20,8%.</w:t>
      </w:r>
    </w:p>
    <w:p w:rsidR="001A360C" w:rsidRDefault="001A360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A360C" w:rsidRDefault="001A360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Le siguieron en el ranking de emisiones con mayor audiencia de la jornada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 3.008.000 espectadores, un 17,8%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desde el 12 de octubre de 2008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e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2.848.000 seguidores y un 15,4% de cuota de pantalla, su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1A360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domingo.</w:t>
      </w:r>
    </w:p>
    <w:p w:rsidR="001A360C" w:rsidRDefault="001A360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A360C" w:rsidRPr="001A360C" w:rsidRDefault="001A360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En la sobremesa, destacó el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histórico de ‘</w:t>
      </w:r>
      <w:proofErr w:type="spellStart"/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fue seguido por 2,3M de espectadores y registró un 18,9%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A16AD6" w:rsidRDefault="00A16AD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96687" w:rsidRDefault="001A360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más vista del domingo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16%, su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en total día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encabezó el </w:t>
      </w:r>
      <w:r w:rsidRPr="001A360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17,1%, el </w:t>
      </w:r>
      <w:proofErr w:type="spellStart"/>
      <w:r w:rsidRPr="001A360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1A360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15,6%, la mañana, con un 12%, la sobremesa, con un 15,8%, la tarde, con un 16%, y el </w:t>
      </w:r>
      <w:r w:rsidRPr="001A360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Pr="001A360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24,2%. Además, el conjunto de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canales de </w:t>
      </w:r>
      <w:proofErr w:type="spellStart"/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un 29,5%, su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domingo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396687" w:rsidRDefault="0039668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5F85" w:rsidRPr="00545F85" w:rsidRDefault="00730EE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Emisión más vista de ‘Sábado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Deluxe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 desde 2013</w:t>
      </w:r>
    </w:p>
    <w:p w:rsidR="00545F85" w:rsidRDefault="00545F8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30EE8" w:rsidRDefault="00730EE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repitió también como la 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líder </w:t>
      </w:r>
      <w:r w:rsidRPr="00730EE8">
        <w:rPr>
          <w:rFonts w:ascii="Arial" w:eastAsia="Times New Roman" w:hAnsi="Arial" w:cs="Arial"/>
          <w:bCs/>
          <w:sz w:val="24"/>
          <w:szCs w:val="24"/>
          <w:lang w:eastAsia="es-ES"/>
        </w:rPr>
        <w:t>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16% e igualmente encabezó las principales franjas horarias: </w:t>
      </w:r>
      <w:r w:rsidRPr="00730EE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17%, </w:t>
      </w:r>
      <w:proofErr w:type="spellStart"/>
      <w:r w:rsidRPr="00730EE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730EE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15,6%, sobremesa, con un 14,8%, tarde, con un 18,4%, y </w:t>
      </w:r>
      <w:r w:rsidRPr="00730EE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Pr="00730EE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22,3%.</w:t>
      </w:r>
    </w:p>
    <w:p w:rsidR="00730EE8" w:rsidRDefault="00730EE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66E5F" w:rsidRDefault="00730EE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30E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liderazgo sustentado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</w:t>
      </w:r>
      <w:r w:rsidRPr="00730EE8">
        <w:rPr>
          <w:rFonts w:ascii="Arial" w:eastAsia="Times New Roman" w:hAnsi="Arial" w:cs="Arial"/>
          <w:bCs/>
          <w:sz w:val="24"/>
          <w:szCs w:val="24"/>
          <w:lang w:eastAsia="es-ES"/>
        </w:rPr>
        <w:t>en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gran seguimiento registrado por sus programas de producción propia e informativos </w:t>
      </w:r>
      <w:r w:rsidRPr="00730E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</w:t>
      </w:r>
      <w:r w:rsidR="00812C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todo </w:t>
      </w:r>
      <w:r w:rsidRPr="00730E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día y especialmente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730E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una media de 3.018.000 espectadores y un 19,9% de </w:t>
      </w:r>
      <w:r w:rsidRPr="00730EE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Pr="00730E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desde el 18 de octubre de 2013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fue el segundo espacio con mayor audiencia de la jornada tras la 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comparecencia del </w:t>
      </w:r>
      <w:proofErr w:type="gramStart"/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Presidente</w:t>
      </w:r>
      <w:proofErr w:type="gramEnd"/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Gobierno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también en Telecinco, donde se situó como 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más seguida </w:t>
      </w:r>
      <w:r w:rsidR="00812C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todas las cadenas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promedio de 3.030.000 espectadores y un 19,8% de cuota de pantalla. </w:t>
      </w:r>
    </w:p>
    <w:p w:rsidR="00730EE8" w:rsidRDefault="00730EE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30EE8" w:rsidRPr="00730EE8" w:rsidRDefault="00730EE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Completó el podio de las emisiones más vistas 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2.767.000 espectadores y un 17%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en sábado desde el 13 de marzo de 2004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el horario estelar, 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su 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emisión más vista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día de la semana con 2.716.000 espectadores y un 15,2%.</w:t>
      </w:r>
    </w:p>
    <w:p w:rsidR="005A57A0" w:rsidRDefault="005A57A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77887" w:rsidRPr="008324F3" w:rsidRDefault="00730EE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elevado seguimiento experimentado por el canal a lo largo del día llevó también a 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batir su </w:t>
      </w:r>
      <w:r w:rsidRPr="00730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récord histórico en sábado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2.610.000 espectadores y un 17,1%</w:t>
      </w:r>
      <w:r w:rsidR="00812C2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577887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A0" w:rsidRDefault="00DA60A0" w:rsidP="00B23904">
      <w:pPr>
        <w:spacing w:after="0" w:line="240" w:lineRule="auto"/>
      </w:pPr>
      <w:r>
        <w:separator/>
      </w:r>
    </w:p>
  </w:endnote>
  <w:endnote w:type="continuationSeparator" w:id="0">
    <w:p w:rsidR="00DA60A0" w:rsidRDefault="00DA60A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A0" w:rsidRDefault="00DA60A0" w:rsidP="00B23904">
      <w:pPr>
        <w:spacing w:after="0" w:line="240" w:lineRule="auto"/>
      </w:pPr>
      <w:r>
        <w:separator/>
      </w:r>
    </w:p>
  </w:footnote>
  <w:footnote w:type="continuationSeparator" w:id="0">
    <w:p w:rsidR="00DA60A0" w:rsidRDefault="00DA60A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2A50"/>
    <w:rsid w:val="000348D0"/>
    <w:rsid w:val="00034F5E"/>
    <w:rsid w:val="00044453"/>
    <w:rsid w:val="00044BC8"/>
    <w:rsid w:val="00047C8E"/>
    <w:rsid w:val="0005112A"/>
    <w:rsid w:val="0006170E"/>
    <w:rsid w:val="00064D4E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45CD"/>
    <w:rsid w:val="003A53B6"/>
    <w:rsid w:val="003A689F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4966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763D0"/>
    <w:rsid w:val="00576D59"/>
    <w:rsid w:val="00577887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3A5C"/>
    <w:rsid w:val="005E7A2F"/>
    <w:rsid w:val="005F12F6"/>
    <w:rsid w:val="005F38DE"/>
    <w:rsid w:val="005F4350"/>
    <w:rsid w:val="005F47E9"/>
    <w:rsid w:val="00601C71"/>
    <w:rsid w:val="0060389F"/>
    <w:rsid w:val="00611C7E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F2FD5"/>
    <w:rsid w:val="007F7AED"/>
    <w:rsid w:val="00812C2B"/>
    <w:rsid w:val="00815E5F"/>
    <w:rsid w:val="008162C6"/>
    <w:rsid w:val="008251B8"/>
    <w:rsid w:val="00825D2B"/>
    <w:rsid w:val="008324F3"/>
    <w:rsid w:val="008337DC"/>
    <w:rsid w:val="00833B61"/>
    <w:rsid w:val="00837A64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9220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66E5F"/>
    <w:rsid w:val="00B71593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3497"/>
    <w:rsid w:val="00D56088"/>
    <w:rsid w:val="00D57E63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A60A0"/>
    <w:rsid w:val="00DC47B1"/>
    <w:rsid w:val="00DC6F38"/>
    <w:rsid w:val="00DD2B92"/>
    <w:rsid w:val="00DD4F40"/>
    <w:rsid w:val="00DD6865"/>
    <w:rsid w:val="00DE658E"/>
    <w:rsid w:val="00DE6871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2FB1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B977-2B5C-1C45-8603-347104FC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17</cp:revision>
  <cp:lastPrinted>2020-03-09T09:59:00Z</cp:lastPrinted>
  <dcterms:created xsi:type="dcterms:W3CDTF">2020-04-27T08:08:00Z</dcterms:created>
  <dcterms:modified xsi:type="dcterms:W3CDTF">2020-04-27T09:20:00Z</dcterms:modified>
</cp:coreProperties>
</file>