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37E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70760" w:rsidRDefault="00270760" w:rsidP="0027076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C81D50" w:rsidRPr="00D13130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37EF6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200123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6650F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37EF6" w:rsidRPr="00D131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 Informativos Telecinco 21 horas, espacios más vistos del domingo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6650F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C81D50" w:rsidRPr="00C81D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notó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47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3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duplicó la oferta de Antena 3 en su franja (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37EF6" w:rsidRDefault="00637EF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noticias presentado por José </w:t>
      </w:r>
      <w:proofErr w:type="spellStart"/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Ribagorda</w:t>
      </w:r>
      <w:proofErr w:type="spellEnd"/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Ángeles Blanco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 M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oferta informativa líder del domingo con 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ventaja sobre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Noticias 2 Fin de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emana (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</w:p>
    <w:p w:rsidR="00E9237B" w:rsidRDefault="00E9237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F0603" w:rsidRDefault="00637E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200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onexión Honduras’ (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2,3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 xml:space="preserve">coronó ayer 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>el ranking de los espacios con m</w:t>
      </w:r>
      <w:r w:rsidR="0011131C">
        <w:rPr>
          <w:rFonts w:ascii="Arial" w:eastAsia="Times New Roman" w:hAnsi="Arial" w:cs="Arial"/>
          <w:sz w:val="24"/>
          <w:szCs w:val="24"/>
          <w:lang w:eastAsia="es-ES"/>
        </w:rPr>
        <w:t>ayor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 xml:space="preserve"> audiencia del d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>omingo</w:t>
      </w:r>
      <w:r w:rsidR="003E45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342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>en su franja de emisión</w:t>
      </w:r>
      <w:r w:rsidR="002B342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19E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 xml:space="preserve">única con </w:t>
      </w:r>
      <w:r w:rsidR="005519E9">
        <w:rPr>
          <w:rFonts w:ascii="Arial" w:eastAsia="Times New Roman" w:hAnsi="Arial" w:cs="Arial"/>
          <w:sz w:val="24"/>
          <w:szCs w:val="24"/>
          <w:lang w:eastAsia="es-ES"/>
        </w:rPr>
        <w:t xml:space="preserve">registros </w:t>
      </w:r>
      <w:r w:rsidR="002B342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724EA">
        <w:rPr>
          <w:rFonts w:ascii="Arial" w:eastAsia="Times New Roman" w:hAnsi="Arial" w:cs="Arial"/>
          <w:sz w:val="24"/>
          <w:szCs w:val="24"/>
          <w:lang w:eastAsia="es-ES"/>
        </w:rPr>
        <w:t xml:space="preserve"> doble dígito. 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uplic</w:t>
      </w:r>
      <w:r w:rsidR="00A65EB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Antena 3 (</w:t>
      </w:r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151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largometraje ‘</w:t>
      </w:r>
      <w:proofErr w:type="spellStart"/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Suburbicon</w:t>
      </w:r>
      <w:proofErr w:type="spellEnd"/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8724E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 </w:t>
      </w:r>
    </w:p>
    <w:p w:rsidR="00E41CF9" w:rsidRDefault="002B3425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952BE5E">
            <wp:simplePos x="0" y="0"/>
            <wp:positionH relativeFrom="margin">
              <wp:posOffset>-190500</wp:posOffset>
            </wp:positionH>
            <wp:positionV relativeFrom="paragraph">
              <wp:posOffset>7620</wp:posOffset>
            </wp:positionV>
            <wp:extent cx="3933825" cy="1790700"/>
            <wp:effectExtent l="0" t="0" r="0" b="0"/>
            <wp:wrapTight wrapText="bothSides">
              <wp:wrapPolygon edited="0">
                <wp:start x="2824" y="1609"/>
                <wp:lineTo x="105" y="2068"/>
                <wp:lineTo x="105" y="9421"/>
                <wp:lineTo x="837" y="9421"/>
                <wp:lineTo x="105" y="10570"/>
                <wp:lineTo x="209" y="18153"/>
                <wp:lineTo x="2824" y="19991"/>
                <wp:lineTo x="5021" y="20451"/>
                <wp:lineTo x="18096" y="20451"/>
                <wp:lineTo x="19665" y="19991"/>
                <wp:lineTo x="21234" y="18383"/>
                <wp:lineTo x="21338" y="5055"/>
                <wp:lineTo x="20711" y="4366"/>
                <wp:lineTo x="17677" y="1609"/>
                <wp:lineTo x="2824" y="160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  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 su competidora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Asturias (26,7%),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Murcia (2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Castilla la Mancha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Valencia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Galicia (20,4%)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proofErr w:type="gramEnd"/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0,2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%), con índices superiores al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D13130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</w:t>
      </w:r>
      <w:r w:rsidR="00FA21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2B3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B3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B3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10,8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D13130" w:rsidRPr="00D13130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(12,2% y 1,6 M)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adueñó de su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>banda de emisión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>, con casi 1 punto sobre la oferta de su inmediata competidora (11,3%).</w:t>
      </w:r>
    </w:p>
    <w:p w:rsidR="00B46B75" w:rsidRPr="000E45AD" w:rsidRDefault="00B46B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tod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27076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(12,4%), tarde (12,8%),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bookmarkStart w:id="0" w:name="_GoBack"/>
      <w:bookmarkEnd w:id="0"/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82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582AC1" w:rsidRPr="00582AC1">
        <w:rPr>
          <w:rFonts w:ascii="Arial" w:eastAsia="Times New Roman" w:hAnsi="Arial" w:cs="Arial"/>
          <w:b/>
          <w:sz w:val="24"/>
          <w:szCs w:val="24"/>
          <w:lang w:eastAsia="es-ES"/>
        </w:rPr>
        <w:t>Energy (2,7%) y FDF (2,5%)</w:t>
      </w:r>
      <w:r w:rsidR="00582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situaron a la cabeza de las televisiones temáticas del domingo.</w:t>
      </w:r>
    </w:p>
    <w:p w:rsidR="00E9237B" w:rsidRDefault="00E9237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3130" w:rsidRDefault="0027076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82AC1">
        <w:rPr>
          <w:rFonts w:ascii="Arial" w:eastAsia="Times New Roman" w:hAnsi="Arial" w:cs="Arial"/>
          <w:bCs/>
          <w:sz w:val="24"/>
          <w:szCs w:val="24"/>
          <w:lang w:eastAsia="es-ES"/>
        </w:rPr>
        <w:t>En Cuatro, el especial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‘Cuarto Milenio</w:t>
      </w:r>
      <w:r w:rsidR="00733D69">
        <w:rPr>
          <w:rFonts w:ascii="Arial" w:eastAsia="Times New Roman" w:hAnsi="Arial" w:cs="Arial"/>
          <w:b/>
          <w:sz w:val="24"/>
          <w:szCs w:val="24"/>
          <w:lang w:eastAsia="es-ES"/>
        </w:rPr>
        <w:t>: coronavirus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(8,1% y 957.000) </w:t>
      </w:r>
      <w:r w:rsidR="00733D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D13130" w:rsidRPr="00D13130">
        <w:rPr>
          <w:rFonts w:ascii="Arial" w:eastAsia="Times New Roman" w:hAnsi="Arial" w:cs="Arial"/>
          <w:b/>
          <w:sz w:val="24"/>
          <w:szCs w:val="24"/>
          <w:lang w:eastAsia="es-ES"/>
        </w:rPr>
        <w:t>segundo mejor registro de la temporada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duplicó a La Sexta (4%).</w:t>
      </w:r>
    </w:p>
    <w:p w:rsidR="00FA5D69" w:rsidRDefault="00733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1D19AB" w:rsidRDefault="0049276C" w:rsidP="001D19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(1</w:t>
      </w:r>
      <w:r w:rsidR="00D13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3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13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6430">
        <w:rPr>
          <w:rFonts w:ascii="Arial" w:eastAsia="Times New Roman" w:hAnsi="Arial" w:cs="Arial"/>
          <w:sz w:val="24"/>
          <w:szCs w:val="24"/>
          <w:lang w:eastAsia="es-ES"/>
        </w:rPr>
        <w:t>alcanzar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 xml:space="preserve"> la victoria en 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lo que llevó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71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por delante de Antena 3 (</w:t>
      </w:r>
      <w:r w:rsidR="00D13130">
        <w:rPr>
          <w:rFonts w:ascii="Arial" w:eastAsia="Times New Roman" w:hAnsi="Arial" w:cs="Arial"/>
          <w:sz w:val="24"/>
          <w:szCs w:val="24"/>
          <w:lang w:eastAsia="es-ES"/>
        </w:rPr>
        <w:t>8,9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  </w:t>
      </w:r>
    </w:p>
    <w:p w:rsidR="00611C7E" w:rsidRPr="0049276C" w:rsidRDefault="00611C7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11C7E" w:rsidRPr="0049276C" w:rsidSect="00D13130">
      <w:footerReference w:type="default" r:id="rId9"/>
      <w:pgSz w:w="11906" w:h="16838"/>
      <w:pgMar w:top="1417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6F49"/>
    <w:rsid w:val="001A3464"/>
    <w:rsid w:val="001A637F"/>
    <w:rsid w:val="001D1186"/>
    <w:rsid w:val="001D1423"/>
    <w:rsid w:val="001D1821"/>
    <w:rsid w:val="001D19AB"/>
    <w:rsid w:val="001D1D8D"/>
    <w:rsid w:val="001E33FC"/>
    <w:rsid w:val="001E35FE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26EC3"/>
    <w:rsid w:val="0033013A"/>
    <w:rsid w:val="0033719C"/>
    <w:rsid w:val="00361B75"/>
    <w:rsid w:val="003670CD"/>
    <w:rsid w:val="00375359"/>
    <w:rsid w:val="00381569"/>
    <w:rsid w:val="003972B3"/>
    <w:rsid w:val="00397619"/>
    <w:rsid w:val="003A45CD"/>
    <w:rsid w:val="003A53B6"/>
    <w:rsid w:val="003A689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5104"/>
    <w:rsid w:val="00616157"/>
    <w:rsid w:val="00622499"/>
    <w:rsid w:val="006277FB"/>
    <w:rsid w:val="006330E5"/>
    <w:rsid w:val="00637EF6"/>
    <w:rsid w:val="00642ADC"/>
    <w:rsid w:val="006502A2"/>
    <w:rsid w:val="00653479"/>
    <w:rsid w:val="006535FC"/>
    <w:rsid w:val="00653C39"/>
    <w:rsid w:val="00657610"/>
    <w:rsid w:val="00661207"/>
    <w:rsid w:val="00663C4C"/>
    <w:rsid w:val="00667EC5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33D69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237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AA3833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AD7D-C428-4576-ABFB-E80D05F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2020-03-02T09:44:00Z</cp:lastPrinted>
  <dcterms:created xsi:type="dcterms:W3CDTF">2020-03-02T08:19:00Z</dcterms:created>
  <dcterms:modified xsi:type="dcterms:W3CDTF">2020-03-02T09:46:00Z</dcterms:modified>
</cp:coreProperties>
</file>