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BFC" w:rsidRDefault="00794BFC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7E1F" w:rsidRDefault="00B23904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B1A5D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31930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794BFC" w:rsidRDefault="00794BFC" w:rsidP="00794BFC">
      <w:pPr>
        <w:spacing w:after="0" w:line="240" w:lineRule="auto"/>
        <w:ind w:left="-284"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81703D" w:rsidRDefault="00157875" w:rsidP="00794BFC">
      <w:pPr>
        <w:ind w:left="-284"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279E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BB1A5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13</w:t>
      </w:r>
      <w:r w:rsidR="0081703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E3193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</w:p>
    <w:p w:rsidR="00BB1A5D" w:rsidRDefault="00BB1A5D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81703D"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‘La isla de las tentaciones’</w:t>
      </w:r>
      <w:r w:rsidR="00AC50DC"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123B0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vuelve a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bat</w:t>
      </w:r>
      <w:r w:rsidR="00123B0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ir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123B0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su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récord y otorga a </w:t>
      </w:r>
      <w:r w:rsidR="00E31930"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Telecinco </w:t>
      </w:r>
      <w:r w:rsidR="002F360A" w:rsidRPr="00794BF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s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u mejor día del año</w:t>
      </w:r>
    </w:p>
    <w:p w:rsidR="00E31930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F360A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4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E319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2F36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110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 la emisión no deportiva más vista de</w:t>
      </w:r>
      <w:r w:rsid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2020 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la e</w:t>
      </w:r>
      <w:r w:rsidR="001110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ntrega con mayor audiencia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con mejor cuota de pantalla desde su estreno</w:t>
      </w:r>
      <w:r w:rsidR="007602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T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riplic</w:t>
      </w:r>
      <w:r w:rsidR="007602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Antena 3 en su franja (9%)</w:t>
      </w:r>
      <w:r w:rsidR="007602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v</w:t>
      </w:r>
      <w:r w:rsidR="002F3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olvió a arrasar entre los espectadores de 16 a 34 años (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50%)</w:t>
      </w:r>
    </w:p>
    <w:p w:rsidR="00FB1BE2" w:rsidRDefault="00FB1BE2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B1BE2" w:rsidRDefault="00FB1BE2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‘Toma salami: la tele que nos parió’ (14,2% y 2,5 M) se situó como el tercer espacio más visto del día con su </w:t>
      </w:r>
      <w:r w:rsidR="000D2C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dato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 </w:t>
      </w:r>
      <w:r w:rsidR="000D2C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alto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desde su arranque   </w:t>
      </w:r>
    </w:p>
    <w:p w:rsidR="002F360A" w:rsidRDefault="002F360A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31930" w:rsidRPr="00FB1BE2" w:rsidRDefault="00FB1BE2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2F3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17,9</w:t>
      </w:r>
      <w:r w:rsidR="002F3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anotó su mejor día del año y</w:t>
      </w:r>
      <w:r w:rsidR="002F360A" w:rsidRPr="00FB1BE2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  <w:r w:rsidR="002F360A" w:rsidRPr="00465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</w:t>
      </w:r>
      <w:r w:rsidR="002F360A" w:rsidRPr="00465CE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F360A" w:rsidRPr="00465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en lo que llevamos de 2020 (</w:t>
      </w:r>
      <w:r w:rsidR="00465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 w:rsidR="002F360A" w:rsidRPr="00465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65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2F360A" w:rsidRPr="00465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E31930" w:rsidRPr="00465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</w:t>
      </w:r>
    </w:p>
    <w:p w:rsidR="00C07E1F" w:rsidRDefault="00C07E1F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D2C61" w:rsidRDefault="0007571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048D7D6">
            <wp:simplePos x="0" y="0"/>
            <wp:positionH relativeFrom="margin">
              <wp:posOffset>38100</wp:posOffset>
            </wp:positionH>
            <wp:positionV relativeFrom="paragraph">
              <wp:posOffset>1559560</wp:posOffset>
            </wp:positionV>
            <wp:extent cx="5421630" cy="2467610"/>
            <wp:effectExtent l="0" t="0" r="0" b="0"/>
            <wp:wrapTight wrapText="bothSides">
              <wp:wrapPolygon edited="0">
                <wp:start x="4402" y="1834"/>
                <wp:lineTo x="152" y="2168"/>
                <wp:lineTo x="76" y="8504"/>
                <wp:lineTo x="228" y="17009"/>
                <wp:lineTo x="531" y="18176"/>
                <wp:lineTo x="987" y="18176"/>
                <wp:lineTo x="987" y="18843"/>
                <wp:lineTo x="3795" y="20010"/>
                <wp:lineTo x="5161" y="20344"/>
                <wp:lineTo x="17987" y="20344"/>
                <wp:lineTo x="21099" y="18510"/>
                <wp:lineTo x="21175" y="5003"/>
                <wp:lineTo x="20264" y="4836"/>
                <wp:lineTo x="7741" y="4836"/>
                <wp:lineTo x="16849" y="3335"/>
                <wp:lineTo x="16773" y="1834"/>
                <wp:lineTo x="4402" y="183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46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2BD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</w:t>
      </w:r>
      <w:r w:rsidR="00663CF7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isla de las tentaciones’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FB1B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3,</w:t>
      </w:r>
      <w:r w:rsidR="00FB1B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 w:rsidR="005925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B1BE2">
        <w:rPr>
          <w:rFonts w:ascii="Arial" w:eastAsia="Times New Roman" w:hAnsi="Arial" w:cs="Arial"/>
          <w:sz w:val="24"/>
          <w:szCs w:val="24"/>
          <w:lang w:eastAsia="es-ES"/>
        </w:rPr>
        <w:t>volvió anoche a demostrar el éxito de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B1BE2">
        <w:rPr>
          <w:rFonts w:ascii="Arial" w:eastAsia="Times New Roman" w:hAnsi="Arial" w:cs="Arial"/>
          <w:sz w:val="24"/>
          <w:szCs w:val="24"/>
          <w:lang w:eastAsia="es-ES"/>
        </w:rPr>
        <w:t xml:space="preserve">  formato 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>de televisión trasversal q</w:t>
      </w:r>
      <w:r w:rsidR="00FB1BE2">
        <w:rPr>
          <w:rFonts w:ascii="Arial" w:eastAsia="Times New Roman" w:hAnsi="Arial" w:cs="Arial"/>
          <w:sz w:val="24"/>
          <w:szCs w:val="24"/>
          <w:lang w:eastAsia="es-ES"/>
        </w:rPr>
        <w:t xml:space="preserve">ue no toca techo. </w:t>
      </w:r>
      <w:r w:rsidR="00123B0F">
        <w:rPr>
          <w:rFonts w:ascii="Arial" w:eastAsia="Times New Roman" w:hAnsi="Arial" w:cs="Arial"/>
          <w:sz w:val="24"/>
          <w:szCs w:val="24"/>
          <w:lang w:eastAsia="es-ES"/>
        </w:rPr>
        <w:t>Si el martes se situaba como la emisión más vista en la historia de Cuatro, l</w:t>
      </w:r>
      <w:r w:rsidR="00DA7CB6">
        <w:rPr>
          <w:rFonts w:ascii="Arial" w:eastAsia="Times New Roman" w:hAnsi="Arial" w:cs="Arial"/>
          <w:sz w:val="24"/>
          <w:szCs w:val="24"/>
          <w:lang w:eastAsia="es-ES"/>
        </w:rPr>
        <w:t xml:space="preserve">a entrega </w:t>
      </w:r>
      <w:r w:rsidR="00123B0F">
        <w:rPr>
          <w:rFonts w:ascii="Arial" w:eastAsia="Times New Roman" w:hAnsi="Arial" w:cs="Arial"/>
          <w:sz w:val="24"/>
          <w:szCs w:val="24"/>
          <w:lang w:eastAsia="es-ES"/>
        </w:rPr>
        <w:t xml:space="preserve">de anoche en Telecinco </w:t>
      </w:r>
      <w:r w:rsidR="00DA449A">
        <w:rPr>
          <w:rFonts w:ascii="Arial" w:eastAsia="Times New Roman" w:hAnsi="Arial" w:cs="Arial"/>
          <w:sz w:val="24"/>
          <w:szCs w:val="24"/>
          <w:lang w:eastAsia="es-ES"/>
        </w:rPr>
        <w:t>sumó aún más seguidores y anotó</w:t>
      </w:r>
      <w:r w:rsidR="00123B0F">
        <w:rPr>
          <w:rFonts w:ascii="Arial" w:eastAsia="Times New Roman" w:hAnsi="Arial" w:cs="Arial"/>
          <w:sz w:val="24"/>
          <w:szCs w:val="24"/>
          <w:lang w:eastAsia="es-ES"/>
        </w:rPr>
        <w:t xml:space="preserve"> un nuevo </w:t>
      </w:r>
      <w:r w:rsidR="00123B0F" w:rsidRP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récord </w:t>
      </w:r>
      <w:r w:rsidR="00123B0F" w:rsidRPr="005D69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histórico </w:t>
      </w:r>
      <w:r w:rsidR="00123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tanto en espectadores como en cuota de pantalla, </w:t>
      </w:r>
      <w:r w:rsidR="00DA4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convirtiéndose en </w:t>
      </w:r>
      <w:r w:rsidR="00123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emisión no deportiva más vista del año</w:t>
      </w:r>
      <w:r w:rsidR="00123B0F" w:rsidRPr="00DA7CB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23B0F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A7CB6">
        <w:rPr>
          <w:rFonts w:ascii="Arial" w:eastAsia="Times New Roman" w:hAnsi="Arial" w:cs="Arial"/>
          <w:sz w:val="24"/>
          <w:szCs w:val="24"/>
          <w:lang w:eastAsia="es-ES"/>
        </w:rPr>
        <w:t>l encuentro</w:t>
      </w:r>
      <w:r w:rsidR="00123B0F">
        <w:rPr>
          <w:rFonts w:ascii="Arial" w:eastAsia="Times New Roman" w:hAnsi="Arial" w:cs="Arial"/>
          <w:sz w:val="24"/>
          <w:szCs w:val="24"/>
          <w:lang w:eastAsia="es-ES"/>
        </w:rPr>
        <w:t xml:space="preserve"> de los protagonistas del </w:t>
      </w:r>
      <w:r w:rsidR="00123B0F" w:rsidRPr="00123B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r w:rsidR="00123B0F">
        <w:rPr>
          <w:rFonts w:ascii="Arial" w:eastAsia="Times New Roman" w:hAnsi="Arial" w:cs="Arial"/>
          <w:sz w:val="24"/>
          <w:szCs w:val="24"/>
          <w:lang w:eastAsia="es-ES"/>
        </w:rPr>
        <w:t xml:space="preserve"> seis</w:t>
      </w:r>
      <w:r w:rsidR="00DA7CB6">
        <w:rPr>
          <w:rFonts w:ascii="Arial" w:eastAsia="Times New Roman" w:hAnsi="Arial" w:cs="Arial"/>
          <w:sz w:val="24"/>
          <w:szCs w:val="24"/>
          <w:lang w:eastAsia="es-ES"/>
        </w:rPr>
        <w:t xml:space="preserve"> meses después de la última hoguera c</w:t>
      </w:r>
      <w:r w:rsidR="00FB1BE2">
        <w:rPr>
          <w:rFonts w:ascii="Arial" w:eastAsia="Times New Roman" w:hAnsi="Arial" w:cs="Arial"/>
          <w:sz w:val="24"/>
          <w:szCs w:val="24"/>
          <w:lang w:eastAsia="es-ES"/>
        </w:rPr>
        <w:t>reció casi 5 puntos respecto a</w:t>
      </w:r>
      <w:r w:rsidR="00DA7CB6">
        <w:rPr>
          <w:rFonts w:ascii="Arial" w:eastAsia="Times New Roman" w:hAnsi="Arial" w:cs="Arial"/>
          <w:sz w:val="24"/>
          <w:szCs w:val="24"/>
          <w:lang w:eastAsia="es-ES"/>
        </w:rPr>
        <w:t xml:space="preserve">l resultado de </w:t>
      </w:r>
      <w:r w:rsidR="00FB1BE2">
        <w:rPr>
          <w:rFonts w:ascii="Arial" w:eastAsia="Times New Roman" w:hAnsi="Arial" w:cs="Arial"/>
          <w:sz w:val="24"/>
          <w:szCs w:val="24"/>
          <w:lang w:eastAsia="es-ES"/>
        </w:rPr>
        <w:t>la semana pasada</w:t>
      </w:r>
      <w:r w:rsidR="005B021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36BA">
        <w:rPr>
          <w:rFonts w:ascii="Arial" w:eastAsia="Times New Roman" w:hAnsi="Arial" w:cs="Arial"/>
          <w:sz w:val="24"/>
          <w:szCs w:val="24"/>
          <w:lang w:eastAsia="es-ES"/>
        </w:rPr>
        <w:t>con una espectacular ventaja sobre sus competidores, incluso en las pausas publicitarias. T</w:t>
      </w:r>
      <w:r w:rsidR="00F524EA" w:rsidRPr="00F524EA">
        <w:rPr>
          <w:rFonts w:ascii="Arial" w:eastAsia="Times New Roman" w:hAnsi="Arial" w:cs="Arial"/>
          <w:sz w:val="24"/>
          <w:szCs w:val="24"/>
          <w:lang w:eastAsia="es-ES"/>
        </w:rPr>
        <w:t>riplic</w:t>
      </w:r>
      <w:r w:rsidR="000836BA">
        <w:rPr>
          <w:rFonts w:ascii="Arial" w:eastAsia="Times New Roman" w:hAnsi="Arial" w:cs="Arial"/>
          <w:sz w:val="24"/>
          <w:szCs w:val="24"/>
          <w:lang w:eastAsia="es-ES"/>
        </w:rPr>
        <w:t xml:space="preserve">ó </w:t>
      </w:r>
      <w:r w:rsidR="00236D5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37CE6" w:rsidRPr="00F524EA">
        <w:rPr>
          <w:rFonts w:ascii="Arial" w:eastAsia="Times New Roman" w:hAnsi="Arial" w:cs="Arial"/>
          <w:sz w:val="24"/>
          <w:szCs w:val="24"/>
          <w:lang w:eastAsia="es-ES"/>
        </w:rPr>
        <w:t xml:space="preserve"> Antena 3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en su franja (</w:t>
      </w:r>
      <w:r w:rsidR="00FB1BE2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B1BE2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1110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>el largometraje ‘Bus 657: el golpe del siglo’ (8,4% y 1 M).</w:t>
      </w:r>
    </w:p>
    <w:p w:rsidR="00DA7CB6" w:rsidRDefault="00DA7CB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D2C61" w:rsidRDefault="000D2C61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D2C61" w:rsidRDefault="000D2C61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D2C61" w:rsidRDefault="000D2C61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94BFC" w:rsidRDefault="00DA449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rec</w:t>
      </w:r>
      <w:r w:rsidR="0059259E">
        <w:rPr>
          <w:rFonts w:ascii="Arial" w:eastAsia="Times New Roman" w:hAnsi="Arial" w:cs="Arial"/>
          <w:sz w:val="24"/>
          <w:szCs w:val="24"/>
          <w:lang w:eastAsia="es-ES"/>
        </w:rPr>
        <w:t>ió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>5,7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puntos en </w:t>
      </w:r>
      <w:r w:rsidR="00137CE6" w:rsidRPr="00E6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137CE6"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</w:t>
      </w:r>
      <w:r w:rsidR="00F524EA"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D2C61"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37CE6"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D2C61"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37CE6"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37C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con los espectadores jóvenes 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 xml:space="preserve">de 16 a 34 años 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137CE6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más fieles seguidores (</w:t>
      </w:r>
      <w:r w:rsidR="00446CDD">
        <w:rPr>
          <w:rFonts w:ascii="Arial" w:eastAsia="Times New Roman" w:hAnsi="Arial" w:cs="Arial"/>
          <w:sz w:val="24"/>
          <w:szCs w:val="24"/>
          <w:lang w:eastAsia="es-ES"/>
        </w:rPr>
        <w:t>50%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="00FA58CF">
        <w:rPr>
          <w:rFonts w:ascii="Arial" w:eastAsia="Times New Roman" w:hAnsi="Arial" w:cs="Arial"/>
          <w:sz w:val="24"/>
          <w:szCs w:val="24"/>
          <w:lang w:eastAsia="es-ES"/>
        </w:rPr>
        <w:t>Canarias (43,9%)</w:t>
      </w:r>
      <w:r w:rsidR="00FA58C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FA58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Murcia (3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2979DD">
        <w:rPr>
          <w:rFonts w:ascii="Arial" w:eastAsia="Times New Roman" w:hAnsi="Arial" w:cs="Arial"/>
          <w:sz w:val="24"/>
          <w:szCs w:val="24"/>
          <w:lang w:eastAsia="es-ES"/>
        </w:rPr>
        <w:t xml:space="preserve">con índices superiores al 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A58C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F524EA" w:rsidRPr="00F524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46CDD" w:rsidRDefault="00446CDD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1BE2" w:rsidRDefault="00E6055E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E6055E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 h (14,5% y 2,3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oferta informativa líder de la jornada, con 1,7 puntos de ventaja sobre Antena 3 Noticias 2 (12,8% y 2 M).</w:t>
      </w:r>
    </w:p>
    <w:p w:rsidR="00E6055E" w:rsidRDefault="00E6055E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6055E" w:rsidRDefault="00E6055E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01926" w:rsidRDefault="00D61D15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La hegemonía de la cadena fue también evidente en 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F01926" w:rsidRPr="00F0192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7,8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</w:t>
      </w:r>
      <w:r w:rsidR="00F01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primera opción frente 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>a ‘Espejo público’ (1</w:t>
      </w:r>
      <w:r w:rsidR="00F524E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>% vs. 1</w:t>
      </w:r>
      <w:r w:rsidR="00F524E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%); y con los liderazgos</w:t>
      </w:r>
      <w:r w:rsidR="000A5C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B4923" w:rsidRPr="00171C2D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C07E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naranja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1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75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bookmarkStart w:id="0" w:name="_GoBack"/>
      <w:bookmarkEnd w:id="0"/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y ‘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banana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F524EA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B4923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lideró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jornada más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 todas las cadenas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0192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,9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1046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46CDD">
        <w:rPr>
          <w:rFonts w:ascii="Arial" w:eastAsia="Times New Roman" w:hAnsi="Arial" w:cs="Arial"/>
          <w:bCs/>
          <w:sz w:val="24"/>
          <w:szCs w:val="24"/>
          <w:lang w:eastAsia="es-ES"/>
        </w:rPr>
        <w:t>su mejor día del año</w:t>
      </w:r>
      <w:r w:rsidR="00555F7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 puntos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sobre Antena 3 (11</w:t>
      </w:r>
      <w:r w:rsidR="00446CDD">
        <w:rPr>
          <w:rFonts w:ascii="Arial" w:eastAsia="Times New Roman" w:hAnsi="Arial" w:cs="Arial"/>
          <w:bCs/>
          <w:sz w:val="24"/>
          <w:szCs w:val="24"/>
          <w:lang w:eastAsia="es-ES"/>
        </w:rPr>
        <w:t>,9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C5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su mejor dato de lo que llevamos de 2020 en </w:t>
      </w:r>
      <w:r w:rsidR="00EC51B8" w:rsidRPr="00EC51B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EC5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555F7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C5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19,8% de </w:t>
      </w:r>
      <w:r w:rsidR="00EC51B8" w:rsidRPr="00EC51B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EC51B8"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e 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mpuso a </w:t>
      </w:r>
      <w:r w:rsidR="00EC51B8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774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mañana (1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7,6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 vs. 1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2,6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%), la tarde (18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 vs. 1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night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EA2EF9" w:rsidRDefault="00EA2EF9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A2EF9" w:rsidRPr="00EA2EF9" w:rsidRDefault="00EA2EF9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EA2E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(9,9%)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27B4">
        <w:rPr>
          <w:rFonts w:ascii="Arial" w:eastAsia="Times New Roman" w:hAnsi="Arial" w:cs="Arial"/>
          <w:sz w:val="24"/>
          <w:szCs w:val="24"/>
          <w:lang w:eastAsia="es-ES"/>
        </w:rPr>
        <w:t>aventajó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3,5 puntos a La Sexta (6,4%) en </w:t>
      </w:r>
      <w:r w:rsidRPr="00EA2EF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C427B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EA2EF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impulsad</w:t>
      </w:r>
      <w:r w:rsidR="0030413D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el encuentro de fútbol de la </w:t>
      </w:r>
      <w:r w:rsidRPr="00EA2E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Copa el Rey entre la Real Sociedad y el Mirandés (13,7% y 2,3 M)</w:t>
      </w:r>
      <w:r>
        <w:rPr>
          <w:rFonts w:ascii="Arial" w:eastAsia="Times New Roman" w:hAnsi="Arial" w:cs="Arial"/>
          <w:sz w:val="24"/>
          <w:szCs w:val="24"/>
          <w:lang w:eastAsia="es-ES"/>
        </w:rPr>
        <w:t>, duplicando a su inmediato competidor en su franja (6,6%).</w:t>
      </w:r>
    </w:p>
    <w:sectPr w:rsidR="00EA2EF9" w:rsidRPr="00EA2EF9" w:rsidSect="00C07E1F">
      <w:footerReference w:type="default" r:id="rId9"/>
      <w:pgSz w:w="11906" w:h="16838"/>
      <w:pgMar w:top="1276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7571A"/>
    <w:rsid w:val="000827A5"/>
    <w:rsid w:val="000836BA"/>
    <w:rsid w:val="00087BC5"/>
    <w:rsid w:val="00092DB0"/>
    <w:rsid w:val="00093A49"/>
    <w:rsid w:val="000975DB"/>
    <w:rsid w:val="000A1CD7"/>
    <w:rsid w:val="000A5CD4"/>
    <w:rsid w:val="000A6FDF"/>
    <w:rsid w:val="000B1998"/>
    <w:rsid w:val="000C1E67"/>
    <w:rsid w:val="000C746D"/>
    <w:rsid w:val="000D0F01"/>
    <w:rsid w:val="000D13D9"/>
    <w:rsid w:val="000D2C61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046A3"/>
    <w:rsid w:val="0011100B"/>
    <w:rsid w:val="00123B0F"/>
    <w:rsid w:val="0012565A"/>
    <w:rsid w:val="0012625C"/>
    <w:rsid w:val="0013498A"/>
    <w:rsid w:val="00137CE6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6AFC"/>
    <w:rsid w:val="001773D7"/>
    <w:rsid w:val="00184007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22A6"/>
    <w:rsid w:val="001F640A"/>
    <w:rsid w:val="001F7929"/>
    <w:rsid w:val="00207EB3"/>
    <w:rsid w:val="0021023F"/>
    <w:rsid w:val="00210DF9"/>
    <w:rsid w:val="002142C0"/>
    <w:rsid w:val="00220B89"/>
    <w:rsid w:val="00226FE2"/>
    <w:rsid w:val="002347A6"/>
    <w:rsid w:val="00236D53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979DD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2F360A"/>
    <w:rsid w:val="003005B8"/>
    <w:rsid w:val="0030157A"/>
    <w:rsid w:val="00303CF8"/>
    <w:rsid w:val="0030413D"/>
    <w:rsid w:val="00304B81"/>
    <w:rsid w:val="00307139"/>
    <w:rsid w:val="00313CFE"/>
    <w:rsid w:val="003176F8"/>
    <w:rsid w:val="00317760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46CDD"/>
    <w:rsid w:val="00454DE2"/>
    <w:rsid w:val="00456F22"/>
    <w:rsid w:val="004575B3"/>
    <w:rsid w:val="00462B23"/>
    <w:rsid w:val="00463A06"/>
    <w:rsid w:val="00465CEE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E7429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55F78"/>
    <w:rsid w:val="00560502"/>
    <w:rsid w:val="00560FA2"/>
    <w:rsid w:val="00576D59"/>
    <w:rsid w:val="00582133"/>
    <w:rsid w:val="0058573A"/>
    <w:rsid w:val="00591B3C"/>
    <w:rsid w:val="0059259E"/>
    <w:rsid w:val="005929C5"/>
    <w:rsid w:val="00595B8B"/>
    <w:rsid w:val="00597FED"/>
    <w:rsid w:val="005A182D"/>
    <w:rsid w:val="005A28C6"/>
    <w:rsid w:val="005A4484"/>
    <w:rsid w:val="005B0211"/>
    <w:rsid w:val="005B372D"/>
    <w:rsid w:val="005B4923"/>
    <w:rsid w:val="005C0E84"/>
    <w:rsid w:val="005C5AEB"/>
    <w:rsid w:val="005D0271"/>
    <w:rsid w:val="005D6905"/>
    <w:rsid w:val="005F12F6"/>
    <w:rsid w:val="005F38DE"/>
    <w:rsid w:val="005F4350"/>
    <w:rsid w:val="005F47E9"/>
    <w:rsid w:val="005F545A"/>
    <w:rsid w:val="0060389F"/>
    <w:rsid w:val="00613D93"/>
    <w:rsid w:val="006149A5"/>
    <w:rsid w:val="00616157"/>
    <w:rsid w:val="00622499"/>
    <w:rsid w:val="006257DC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3CF7"/>
    <w:rsid w:val="006808AA"/>
    <w:rsid w:val="006813CB"/>
    <w:rsid w:val="006831B1"/>
    <w:rsid w:val="006837FB"/>
    <w:rsid w:val="00683A32"/>
    <w:rsid w:val="00686A6A"/>
    <w:rsid w:val="00687BCD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3B22"/>
    <w:rsid w:val="006E2F0B"/>
    <w:rsid w:val="006E3B24"/>
    <w:rsid w:val="006E4DCC"/>
    <w:rsid w:val="006E54A2"/>
    <w:rsid w:val="006E707B"/>
    <w:rsid w:val="006E73D8"/>
    <w:rsid w:val="006F4E9B"/>
    <w:rsid w:val="006F5181"/>
    <w:rsid w:val="006F72D0"/>
    <w:rsid w:val="006F7808"/>
    <w:rsid w:val="0070380F"/>
    <w:rsid w:val="00704381"/>
    <w:rsid w:val="00713AC0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2EF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4BFC"/>
    <w:rsid w:val="00795325"/>
    <w:rsid w:val="00797895"/>
    <w:rsid w:val="007A327C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1703D"/>
    <w:rsid w:val="008174CB"/>
    <w:rsid w:val="008251B8"/>
    <w:rsid w:val="008279ED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774EB"/>
    <w:rsid w:val="00880851"/>
    <w:rsid w:val="00882A92"/>
    <w:rsid w:val="0089094A"/>
    <w:rsid w:val="008A1678"/>
    <w:rsid w:val="008B2E6B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79EB"/>
    <w:rsid w:val="00970A89"/>
    <w:rsid w:val="009765AF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464C4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0C17"/>
    <w:rsid w:val="00AB5588"/>
    <w:rsid w:val="00AC4F38"/>
    <w:rsid w:val="00AC50DC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28A0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1A5D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07E1F"/>
    <w:rsid w:val="00C10669"/>
    <w:rsid w:val="00C10FFA"/>
    <w:rsid w:val="00C12898"/>
    <w:rsid w:val="00C136F3"/>
    <w:rsid w:val="00C16919"/>
    <w:rsid w:val="00C16F56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7B4"/>
    <w:rsid w:val="00C42C7D"/>
    <w:rsid w:val="00C549E6"/>
    <w:rsid w:val="00C563A0"/>
    <w:rsid w:val="00C66330"/>
    <w:rsid w:val="00C71EA6"/>
    <w:rsid w:val="00C746AC"/>
    <w:rsid w:val="00C813FF"/>
    <w:rsid w:val="00C8667F"/>
    <w:rsid w:val="00C87AD8"/>
    <w:rsid w:val="00C91A22"/>
    <w:rsid w:val="00C9360A"/>
    <w:rsid w:val="00C944ED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1D15"/>
    <w:rsid w:val="00D623D0"/>
    <w:rsid w:val="00D64913"/>
    <w:rsid w:val="00D6666F"/>
    <w:rsid w:val="00D70477"/>
    <w:rsid w:val="00D72CF2"/>
    <w:rsid w:val="00D80A52"/>
    <w:rsid w:val="00D80DDF"/>
    <w:rsid w:val="00D86D61"/>
    <w:rsid w:val="00D92E38"/>
    <w:rsid w:val="00D9481D"/>
    <w:rsid w:val="00D967DA"/>
    <w:rsid w:val="00DA36C4"/>
    <w:rsid w:val="00DA449A"/>
    <w:rsid w:val="00DA7CB6"/>
    <w:rsid w:val="00DD4F40"/>
    <w:rsid w:val="00DD6865"/>
    <w:rsid w:val="00DE2FE4"/>
    <w:rsid w:val="00DF136C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1930"/>
    <w:rsid w:val="00E331FA"/>
    <w:rsid w:val="00E350AF"/>
    <w:rsid w:val="00E35934"/>
    <w:rsid w:val="00E42ADC"/>
    <w:rsid w:val="00E46F7B"/>
    <w:rsid w:val="00E6055E"/>
    <w:rsid w:val="00E6352E"/>
    <w:rsid w:val="00E672A8"/>
    <w:rsid w:val="00E718F3"/>
    <w:rsid w:val="00E773FC"/>
    <w:rsid w:val="00E77E2B"/>
    <w:rsid w:val="00E80D6A"/>
    <w:rsid w:val="00E83CB0"/>
    <w:rsid w:val="00E8536B"/>
    <w:rsid w:val="00E948AA"/>
    <w:rsid w:val="00E95225"/>
    <w:rsid w:val="00E95BFD"/>
    <w:rsid w:val="00EA2EF9"/>
    <w:rsid w:val="00EA3CE3"/>
    <w:rsid w:val="00EA6962"/>
    <w:rsid w:val="00EB09FB"/>
    <w:rsid w:val="00EB1D5B"/>
    <w:rsid w:val="00EB31D3"/>
    <w:rsid w:val="00EC51B8"/>
    <w:rsid w:val="00EC54CA"/>
    <w:rsid w:val="00EC596B"/>
    <w:rsid w:val="00ED1D75"/>
    <w:rsid w:val="00EE505D"/>
    <w:rsid w:val="00EE5926"/>
    <w:rsid w:val="00EE714F"/>
    <w:rsid w:val="00EF5F09"/>
    <w:rsid w:val="00EF7C4A"/>
    <w:rsid w:val="00F0088B"/>
    <w:rsid w:val="00F01926"/>
    <w:rsid w:val="00F0440A"/>
    <w:rsid w:val="00F07482"/>
    <w:rsid w:val="00F07D81"/>
    <w:rsid w:val="00F119A0"/>
    <w:rsid w:val="00F1317E"/>
    <w:rsid w:val="00F21327"/>
    <w:rsid w:val="00F23765"/>
    <w:rsid w:val="00F252BD"/>
    <w:rsid w:val="00F27A50"/>
    <w:rsid w:val="00F33DB5"/>
    <w:rsid w:val="00F3495B"/>
    <w:rsid w:val="00F40096"/>
    <w:rsid w:val="00F40421"/>
    <w:rsid w:val="00F524EA"/>
    <w:rsid w:val="00F54B00"/>
    <w:rsid w:val="00F60552"/>
    <w:rsid w:val="00F660D6"/>
    <w:rsid w:val="00F70464"/>
    <w:rsid w:val="00F70B6A"/>
    <w:rsid w:val="00F82CA7"/>
    <w:rsid w:val="00F83ACD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A58CF"/>
    <w:rsid w:val="00FB1BE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E4758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405DA3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BE24-9053-40EC-AC38-31C8834F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22</cp:revision>
  <cp:lastPrinted>2020-02-14T09:15:00Z</cp:lastPrinted>
  <dcterms:created xsi:type="dcterms:W3CDTF">2020-02-14T08:16:00Z</dcterms:created>
  <dcterms:modified xsi:type="dcterms:W3CDTF">2020-02-14T09:28:00Z</dcterms:modified>
</cp:coreProperties>
</file>