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BFC" w:rsidRDefault="00794BFC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7E1F" w:rsidRDefault="00B23904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3193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31930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794BFC" w:rsidRDefault="00794BFC" w:rsidP="00794BFC">
      <w:pPr>
        <w:spacing w:after="0" w:line="240" w:lineRule="auto"/>
        <w:ind w:left="-284"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81703D" w:rsidRDefault="00157875" w:rsidP="00794BFC">
      <w:pPr>
        <w:ind w:left="-284"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279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E3193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6</w:t>
      </w:r>
      <w:r w:rsidR="008170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E3193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</w:p>
    <w:p w:rsidR="00E31930" w:rsidRPr="00794BFC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El partido de fútbol en Cuatro y </w:t>
      </w:r>
      <w:r w:rsidR="0081703D"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‘La isla de las tentaciones’</w:t>
      </w:r>
      <w:r w:rsidR="00AC50DC"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en Telecinco </w:t>
      </w:r>
      <w:r w:rsidR="002F360A"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se adueñan del jueves y </w:t>
      </w:r>
      <w:r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conceden a Mediaset su mejor d</w:t>
      </w:r>
      <w:r w:rsidR="002F360A"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ía</w:t>
      </w:r>
      <w:r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del año</w:t>
      </w:r>
    </w:p>
    <w:p w:rsidR="00E31930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1703D" w:rsidRDefault="00AC50DC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 M de espectadores y un</w:t>
      </w:r>
      <w:r w:rsidR="00663C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24</w:t>
      </w:r>
      <w:r w:rsidR="008170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81703D" w:rsidRPr="0081703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170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encuentro entre el </w:t>
      </w:r>
      <w:proofErr w:type="spellStart"/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Ath</w:t>
      </w:r>
      <w:proofErr w:type="spellEnd"/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Bilbao y el Barcelona </w:t>
      </w:r>
      <w:r w:rsidR="00EA3C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F.C. 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 fue lo más visto de</w:t>
      </w:r>
      <w:r w:rsidR="002F3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2F3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jornada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todas las televisiones con el mejor resultado de la temporada de </w:t>
      </w:r>
      <w:r w:rsidR="00FE4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partidos de 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Copa del Rey de fútbol </w:t>
      </w:r>
    </w:p>
    <w:p w:rsidR="00E31930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F360A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3,1 M de espectadores y un 2</w:t>
      </w:r>
      <w:r w:rsidR="00207E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07E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E319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2F36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lo segundo más visto con su mejor cuota de pantalla en su emisión en Telecinco</w:t>
      </w:r>
      <w:r w:rsidR="002F3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Volvió a arrasar entre los espectadores de 16 a 34 años (</w:t>
      </w:r>
      <w:r w:rsidR="006E73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45,4%)</w:t>
      </w:r>
    </w:p>
    <w:p w:rsidR="002F360A" w:rsidRDefault="002F360A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31930" w:rsidRPr="00E31930" w:rsidRDefault="002F360A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(33,6%) anotó su mejor día del año y su mejor </w:t>
      </w:r>
      <w:r w:rsidRPr="002F36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en lo que llevamos de 2020 (38,1%)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</w:p>
    <w:p w:rsidR="00C07E1F" w:rsidRDefault="00C07E1F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464C4" w:rsidRDefault="00AC50DC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Noche de éxitos </w:t>
      </w:r>
      <w:r w:rsidR="00A464C4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A464C4"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y Telecinco con sus ofertas deportivas y de producción propia en el </w:t>
      </w:r>
      <w:r w:rsidR="00A464C4" w:rsidRPr="00E83CB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A464C4"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favoritas para los espectadores</w:t>
      </w:r>
      <w:r w:rsid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464C4">
        <w:rPr>
          <w:rFonts w:ascii="Arial" w:eastAsia="Times New Roman" w:hAnsi="Arial" w:cs="Arial"/>
          <w:sz w:val="24"/>
          <w:szCs w:val="24"/>
          <w:lang w:eastAsia="es-ES"/>
        </w:rPr>
        <w:t xml:space="preserve"> que las situaron a la cabeza del </w:t>
      </w:r>
      <w:proofErr w:type="spellStart"/>
      <w:r w:rsidR="00A464C4">
        <w:rPr>
          <w:rFonts w:ascii="Arial" w:eastAsia="Times New Roman" w:hAnsi="Arial" w:cs="Arial"/>
          <w:sz w:val="24"/>
          <w:szCs w:val="24"/>
          <w:lang w:eastAsia="es-ES"/>
        </w:rPr>
        <w:t>ránking</w:t>
      </w:r>
      <w:proofErr w:type="spellEnd"/>
      <w:r w:rsidR="00A464C4">
        <w:rPr>
          <w:rFonts w:ascii="Arial" w:eastAsia="Times New Roman" w:hAnsi="Arial" w:cs="Arial"/>
          <w:sz w:val="24"/>
          <w:szCs w:val="24"/>
          <w:lang w:eastAsia="es-ES"/>
        </w:rPr>
        <w:t xml:space="preserve"> de los espacios más vistos del jueves con datos de récord</w:t>
      </w:r>
      <w:r w:rsidR="00E83CB0">
        <w:rPr>
          <w:rFonts w:ascii="Arial" w:eastAsia="Times New Roman" w:hAnsi="Arial" w:cs="Arial"/>
          <w:sz w:val="24"/>
          <w:szCs w:val="24"/>
          <w:lang w:eastAsia="es-ES"/>
        </w:rPr>
        <w:t xml:space="preserve">. Como consecuencia, </w:t>
      </w:r>
      <w:r w:rsidR="00A464C4">
        <w:rPr>
          <w:rFonts w:ascii="Arial" w:eastAsia="Times New Roman" w:hAnsi="Arial" w:cs="Arial"/>
          <w:sz w:val="24"/>
          <w:szCs w:val="24"/>
          <w:lang w:eastAsia="es-ES"/>
        </w:rPr>
        <w:t xml:space="preserve">Mediaset </w:t>
      </w:r>
      <w:r w:rsidR="00E83CB0">
        <w:rPr>
          <w:rFonts w:ascii="Arial" w:eastAsia="Times New Roman" w:hAnsi="Arial" w:cs="Arial"/>
          <w:sz w:val="24"/>
          <w:szCs w:val="24"/>
          <w:lang w:eastAsia="es-ES"/>
        </w:rPr>
        <w:t xml:space="preserve">registró ayer </w:t>
      </w:r>
      <w:r w:rsidR="00A464C4">
        <w:rPr>
          <w:rFonts w:ascii="Arial" w:eastAsia="Times New Roman" w:hAnsi="Arial" w:cs="Arial"/>
          <w:sz w:val="24"/>
          <w:szCs w:val="24"/>
          <w:lang w:eastAsia="es-ES"/>
        </w:rPr>
        <w:t xml:space="preserve">su mejor día de 2020 con un </w:t>
      </w:r>
      <w:r w:rsidR="00A464C4"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33,6% de </w:t>
      </w:r>
      <w:r w:rsidR="00A464C4" w:rsidRPr="00E83CB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464C4">
        <w:rPr>
          <w:rFonts w:ascii="Arial" w:eastAsia="Times New Roman" w:hAnsi="Arial" w:cs="Arial"/>
          <w:sz w:val="24"/>
          <w:szCs w:val="24"/>
          <w:lang w:eastAsia="es-ES"/>
        </w:rPr>
        <w:t xml:space="preserve">, 8,2 puntos sobre Atresmedia (25,4%) y también su </w:t>
      </w:r>
      <w:r w:rsidR="00A464C4"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A464C4" w:rsidRPr="00E83CB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A464C4"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83ACD"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con un 38,1% de </w:t>
      </w:r>
      <w:r w:rsidR="00F83ACD" w:rsidRPr="00E83CB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F83A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66330">
        <w:rPr>
          <w:rFonts w:ascii="Arial" w:eastAsia="Times New Roman" w:hAnsi="Arial" w:cs="Arial"/>
          <w:sz w:val="24"/>
          <w:szCs w:val="24"/>
          <w:lang w:eastAsia="es-ES"/>
        </w:rPr>
        <w:t>con m</w:t>
      </w:r>
      <w:r w:rsidR="00F83ACD">
        <w:rPr>
          <w:rFonts w:ascii="Arial" w:eastAsia="Times New Roman" w:hAnsi="Arial" w:cs="Arial"/>
          <w:sz w:val="24"/>
          <w:szCs w:val="24"/>
          <w:lang w:eastAsia="es-ES"/>
        </w:rPr>
        <w:t>ás de 12 puntos de ventaja sobre su principal competidor (25,9%).</w:t>
      </w:r>
    </w:p>
    <w:p w:rsidR="00A464C4" w:rsidRDefault="00A464C4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3CB0" w:rsidRDefault="00E83CB0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con </w:t>
      </w:r>
      <w:r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mayor audiencia de la jornada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encuentro de </w:t>
      </w:r>
      <w:r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cuartos de final de la Copa del Rey entre el </w:t>
      </w:r>
      <w:proofErr w:type="spellStart"/>
      <w:r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Ath.Bilbao</w:t>
      </w:r>
      <w:proofErr w:type="spellEnd"/>
      <w:r w:rsidRP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Barcelona F.C. (24% y 4,1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Cuatro, con su </w:t>
      </w:r>
      <w:r w:rsidRPr="00C16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esta competición en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Lideró de forma absoluta cuadruplicando la oferta de La Sexta en su franja (5,4%) y duplicando la de Antena 3 (11%). Creció 4 puntos en </w:t>
      </w:r>
      <w:r w:rsidRPr="00E83CB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28% de </w:t>
      </w:r>
      <w:r w:rsidRPr="00E83CB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 Firmó el </w:t>
      </w:r>
      <w:r w:rsidR="00F524EA" w:rsidRPr="00C16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del</w:t>
      </w:r>
      <w:r w:rsidR="00976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jueves</w:t>
      </w:r>
      <w:r w:rsidR="00F524EA" w:rsidRPr="00C16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las 22:58 horas, con 5,4 M de espectadores y un 30,3% de </w:t>
      </w:r>
      <w:r w:rsidR="00F524EA" w:rsidRPr="00C16F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524EA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24EA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estos resultados, </w:t>
      </w:r>
      <w:r w:rsidRP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fue líder absoluto de la franja del </w:t>
      </w:r>
      <w:r w:rsidRPr="00F524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16,4% de share</w:t>
      </w:r>
      <w:r>
        <w:rPr>
          <w:rFonts w:ascii="Arial" w:eastAsia="Times New Roman" w:hAnsi="Arial" w:cs="Arial"/>
          <w:sz w:val="24"/>
          <w:szCs w:val="24"/>
          <w:lang w:eastAsia="es-ES"/>
        </w:rPr>
        <w:t>, más de 10 puntos sobre La Sexta en este parámetro (5,6%).</w:t>
      </w:r>
      <w:r w:rsidR="00C944ED">
        <w:rPr>
          <w:rFonts w:ascii="Arial" w:eastAsia="Times New Roman" w:hAnsi="Arial" w:cs="Arial"/>
          <w:sz w:val="24"/>
          <w:szCs w:val="24"/>
          <w:lang w:eastAsia="es-ES"/>
        </w:rPr>
        <w:t xml:space="preserve"> Y también se impuso a su principal competidor en el total día (8,4% vs. 6,7%).</w:t>
      </w:r>
    </w:p>
    <w:p w:rsidR="00E83CB0" w:rsidRDefault="00E83CB0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F136C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continuación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situó </w:t>
      </w:r>
      <w:r w:rsidR="00F252BD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</w:t>
      </w:r>
      <w:r w:rsidR="00663CF7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isla de las tentaciones’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83C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3,1 M)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C50DC" w:rsidRP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de </w:t>
      </w:r>
      <w:r w:rsidR="00663CF7" w:rsidRPr="00F524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F252BD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69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histórico en su emisión en Telecinco</w:t>
      </w:r>
      <w:r w:rsidR="00137CE6" w:rsidRPr="000A5C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F524EA">
        <w:rPr>
          <w:rFonts w:ascii="Arial" w:eastAsia="Times New Roman" w:hAnsi="Arial" w:cs="Arial"/>
          <w:sz w:val="24"/>
          <w:szCs w:val="24"/>
          <w:lang w:eastAsia="es-ES"/>
        </w:rPr>
        <w:t>triplicando e</w:t>
      </w:r>
      <w:r w:rsidR="00137CE6" w:rsidRPr="00F524EA">
        <w:rPr>
          <w:rFonts w:ascii="Arial" w:eastAsia="Times New Roman" w:hAnsi="Arial" w:cs="Arial"/>
          <w:sz w:val="24"/>
          <w:szCs w:val="24"/>
          <w:lang w:eastAsia="es-ES"/>
        </w:rPr>
        <w:t>l resultado de Antena 3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en su franja (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,2%)</w:t>
      </w:r>
      <w:r>
        <w:rPr>
          <w:rFonts w:ascii="Arial" w:eastAsia="Times New Roman" w:hAnsi="Arial" w:cs="Arial"/>
          <w:sz w:val="24"/>
          <w:szCs w:val="24"/>
          <w:lang w:eastAsia="es-ES"/>
        </w:rPr>
        <w:t>. C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rec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>ió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más de 6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puntos en </w:t>
      </w:r>
      <w:r w:rsidR="00137CE6" w:rsidRPr="00137CE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comercial (</w:t>
      </w:r>
      <w:r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37C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con los espectadores jóvenes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16 a 34 años 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137CE6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más fieles seguidores (</w:t>
      </w:r>
      <w:r w:rsidR="006E73D8">
        <w:rPr>
          <w:rFonts w:ascii="Arial" w:eastAsia="Times New Roman" w:hAnsi="Arial" w:cs="Arial"/>
          <w:sz w:val="24"/>
          <w:szCs w:val="24"/>
          <w:lang w:eastAsia="es-ES"/>
        </w:rPr>
        <w:t>45,4%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destacaron los mercados regionales de Murcia (32,5%) y Canarias (32%) </w:t>
      </w:r>
      <w:r w:rsidR="002979DD">
        <w:rPr>
          <w:rFonts w:ascii="Arial" w:eastAsia="Times New Roman" w:hAnsi="Arial" w:cs="Arial"/>
          <w:sz w:val="24"/>
          <w:szCs w:val="24"/>
          <w:lang w:eastAsia="es-ES"/>
        </w:rPr>
        <w:t xml:space="preserve">con índices superiores 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30% de </w:t>
      </w:r>
      <w:r w:rsidRPr="00F524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A5CD4" w:rsidRDefault="000A5CD4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4BFC" w:rsidRDefault="00794BFC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174CB" w:rsidRDefault="008174CB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174CB" w:rsidRDefault="008174CB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4BFC" w:rsidRDefault="00794BFC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01926" w:rsidRDefault="00D61D1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la cadena fue también evidente en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F01926" w:rsidRPr="00F0192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F01926" w:rsidRPr="00F0192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1,5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primera opción frente 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a ‘Espejo público’ (1</w:t>
      </w:r>
      <w:r w:rsidR="00F524E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524E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% vs. 1</w:t>
      </w:r>
      <w:r w:rsidR="00F524E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524E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%); y con los liderazgos</w:t>
      </w:r>
      <w:r w:rsidR="000A5C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B4923" w:rsidRPr="00171C2D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C07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1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0,9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y ‘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banana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F524EA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F22A6" w:rsidRDefault="001F22A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B4923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jornada más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 todas las cadenas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0192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1046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 puntos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sobre Antena 3 (11%). También se 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mpuso a </w:t>
      </w:r>
      <w:r w:rsidR="00877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cadena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mañana (18% vs. 13%), la tarde (19,8% vs. 11,3%),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bookmarkStart w:id="0" w:name="_GoBack"/>
      <w:bookmarkEnd w:id="0"/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sectPr w:rsidR="005B4923" w:rsidSect="00C07E1F">
      <w:footerReference w:type="default" r:id="rId8"/>
      <w:pgSz w:w="11906" w:h="16838"/>
      <w:pgMar w:top="1276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5CD4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046A3"/>
    <w:rsid w:val="0012565A"/>
    <w:rsid w:val="0012625C"/>
    <w:rsid w:val="0013498A"/>
    <w:rsid w:val="00137CE6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6AFC"/>
    <w:rsid w:val="001773D7"/>
    <w:rsid w:val="00184007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22A6"/>
    <w:rsid w:val="001F640A"/>
    <w:rsid w:val="001F7929"/>
    <w:rsid w:val="00207EB3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979DD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2F360A"/>
    <w:rsid w:val="003005B8"/>
    <w:rsid w:val="0030157A"/>
    <w:rsid w:val="00303CF8"/>
    <w:rsid w:val="00304B81"/>
    <w:rsid w:val="00307139"/>
    <w:rsid w:val="00313CFE"/>
    <w:rsid w:val="003176F8"/>
    <w:rsid w:val="00317760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8573A"/>
    <w:rsid w:val="00591B3C"/>
    <w:rsid w:val="0059259E"/>
    <w:rsid w:val="005929C5"/>
    <w:rsid w:val="00595B8B"/>
    <w:rsid w:val="00597FED"/>
    <w:rsid w:val="005A182D"/>
    <w:rsid w:val="005A28C6"/>
    <w:rsid w:val="005A4484"/>
    <w:rsid w:val="005B372D"/>
    <w:rsid w:val="005B4923"/>
    <w:rsid w:val="005C0E84"/>
    <w:rsid w:val="005C5AEB"/>
    <w:rsid w:val="005D0271"/>
    <w:rsid w:val="005D6905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3CF7"/>
    <w:rsid w:val="006808AA"/>
    <w:rsid w:val="006813CB"/>
    <w:rsid w:val="006831B1"/>
    <w:rsid w:val="006837FB"/>
    <w:rsid w:val="00683A32"/>
    <w:rsid w:val="00686A6A"/>
    <w:rsid w:val="00687BCD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3B22"/>
    <w:rsid w:val="006E2F0B"/>
    <w:rsid w:val="006E3B24"/>
    <w:rsid w:val="006E4DCC"/>
    <w:rsid w:val="006E54A2"/>
    <w:rsid w:val="006E707B"/>
    <w:rsid w:val="006E73D8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4BFC"/>
    <w:rsid w:val="00795325"/>
    <w:rsid w:val="00797895"/>
    <w:rsid w:val="007A327C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1703D"/>
    <w:rsid w:val="008174CB"/>
    <w:rsid w:val="008251B8"/>
    <w:rsid w:val="008279ED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774EB"/>
    <w:rsid w:val="00880851"/>
    <w:rsid w:val="00882A92"/>
    <w:rsid w:val="0089094A"/>
    <w:rsid w:val="008A1678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765AF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64C4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0C17"/>
    <w:rsid w:val="00AB5588"/>
    <w:rsid w:val="00AC4F38"/>
    <w:rsid w:val="00AC50DC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28A0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07E1F"/>
    <w:rsid w:val="00C10669"/>
    <w:rsid w:val="00C10FFA"/>
    <w:rsid w:val="00C12898"/>
    <w:rsid w:val="00C136F3"/>
    <w:rsid w:val="00C16919"/>
    <w:rsid w:val="00C16F56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66330"/>
    <w:rsid w:val="00C71EA6"/>
    <w:rsid w:val="00C746AC"/>
    <w:rsid w:val="00C813FF"/>
    <w:rsid w:val="00C8667F"/>
    <w:rsid w:val="00C87AD8"/>
    <w:rsid w:val="00C91A22"/>
    <w:rsid w:val="00C9360A"/>
    <w:rsid w:val="00C944ED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1D15"/>
    <w:rsid w:val="00D623D0"/>
    <w:rsid w:val="00D64913"/>
    <w:rsid w:val="00D6666F"/>
    <w:rsid w:val="00D70477"/>
    <w:rsid w:val="00D72CF2"/>
    <w:rsid w:val="00D80A52"/>
    <w:rsid w:val="00D80DDF"/>
    <w:rsid w:val="00D86D61"/>
    <w:rsid w:val="00D92E38"/>
    <w:rsid w:val="00D9481D"/>
    <w:rsid w:val="00D967DA"/>
    <w:rsid w:val="00DA36C4"/>
    <w:rsid w:val="00DD4F40"/>
    <w:rsid w:val="00DD6865"/>
    <w:rsid w:val="00DE2FE4"/>
    <w:rsid w:val="00DF136C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1930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3CB0"/>
    <w:rsid w:val="00E8536B"/>
    <w:rsid w:val="00E948AA"/>
    <w:rsid w:val="00E95225"/>
    <w:rsid w:val="00EA3CE3"/>
    <w:rsid w:val="00EA6962"/>
    <w:rsid w:val="00EB09FB"/>
    <w:rsid w:val="00EB1D5B"/>
    <w:rsid w:val="00EB31D3"/>
    <w:rsid w:val="00EC54CA"/>
    <w:rsid w:val="00EC596B"/>
    <w:rsid w:val="00ED1D75"/>
    <w:rsid w:val="00EE505D"/>
    <w:rsid w:val="00EE5926"/>
    <w:rsid w:val="00EE714F"/>
    <w:rsid w:val="00EF5F09"/>
    <w:rsid w:val="00EF7C4A"/>
    <w:rsid w:val="00F0088B"/>
    <w:rsid w:val="00F01926"/>
    <w:rsid w:val="00F0440A"/>
    <w:rsid w:val="00F07482"/>
    <w:rsid w:val="00F07D81"/>
    <w:rsid w:val="00F119A0"/>
    <w:rsid w:val="00F1317E"/>
    <w:rsid w:val="00F21327"/>
    <w:rsid w:val="00F23765"/>
    <w:rsid w:val="00F252BD"/>
    <w:rsid w:val="00F27A50"/>
    <w:rsid w:val="00F33DB5"/>
    <w:rsid w:val="00F3495B"/>
    <w:rsid w:val="00F40096"/>
    <w:rsid w:val="00F40421"/>
    <w:rsid w:val="00F524EA"/>
    <w:rsid w:val="00F54B00"/>
    <w:rsid w:val="00F60552"/>
    <w:rsid w:val="00F660D6"/>
    <w:rsid w:val="00F70464"/>
    <w:rsid w:val="00F70B6A"/>
    <w:rsid w:val="00F82CA7"/>
    <w:rsid w:val="00F83ACD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E4758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2D95CA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F3EA-96B3-47D1-B0FF-C7818BA2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2020-02-07T09:16:00Z</cp:lastPrinted>
  <dcterms:created xsi:type="dcterms:W3CDTF">2020-02-07T08:45:00Z</dcterms:created>
  <dcterms:modified xsi:type="dcterms:W3CDTF">2020-02-07T09:29:00Z</dcterms:modified>
</cp:coreProperties>
</file>