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F5181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6F518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20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1A0E85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‘</w:t>
      </w:r>
      <w:r w:rsidR="003B77E4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Vivir sin permiso</w:t>
      </w:r>
      <w:r w:rsidR="007F62CD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’</w:t>
      </w:r>
      <w:r w:rsidR="00613D93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r w:rsidR="001A0E85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lidera su franja y crece en </w:t>
      </w:r>
      <w:proofErr w:type="gramStart"/>
      <w:r w:rsidR="001A0E85" w:rsidRPr="001A0E85">
        <w:rPr>
          <w:rFonts w:ascii="Arial" w:eastAsia="Times New Roman" w:hAnsi="Arial" w:cs="Arial"/>
          <w:b/>
          <w:bCs/>
          <w:i/>
          <w:color w:val="002C5F"/>
          <w:sz w:val="46"/>
          <w:szCs w:val="46"/>
          <w:lang w:eastAsia="es-ES"/>
        </w:rPr>
        <w:t>target</w:t>
      </w:r>
      <w:proofErr w:type="gramEnd"/>
      <w:r w:rsidR="001A0E85" w:rsidRPr="001A0E8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comercial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2204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6F5181" w:rsidRPr="006F51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1.979</w:t>
      </w:r>
      <w:r w:rsidR="006F51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 w:rsidR="006F51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F51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serie </w:t>
      </w:r>
      <w:r w:rsidR="001A0E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reció 1,</w:t>
      </w:r>
      <w:r w:rsidR="007F6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</w:t>
      </w:r>
      <w:proofErr w:type="gramStart"/>
      <w:r w:rsidR="00BD2204" w:rsidRPr="00BD22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7F6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(15,3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con los espectadores entre 25 a 34 años com</w:t>
      </w:r>
      <w:r w:rsidR="007F6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 sus principales seguidores (18,2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9C02FC" w:rsidRDefault="009C02FC" w:rsidP="007F62C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13D93" w:rsidRDefault="001A0E85" w:rsidP="001A0E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lideró el día y todas sus franjas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en las que destacaron </w:t>
      </w:r>
      <w:r w:rsidR="00882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 (14,7% y 2.536 M)</w:t>
      </w:r>
      <w:r w:rsidR="00882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3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la segunda emisión m</w:t>
      </w:r>
      <w:r w:rsidR="00882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ás vista </w:t>
      </w:r>
      <w:r w:rsidR="00882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jornada,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Ya es mediodía’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882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vista del año (13,2% y 1.281 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882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7F6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F62CD" w:rsidRPr="007F6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F62CD" w:rsidRPr="007F6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18,9%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7F62CD" w:rsidRPr="007F6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7</w:t>
      </w:r>
      <w:r w:rsidR="007F6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38.000 espectadores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DF3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líder de la mañana</w:t>
      </w:r>
    </w:p>
    <w:p w:rsidR="007F62CD" w:rsidRDefault="007F62C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F244A" w:rsidRPr="00DF3850" w:rsidRDefault="00372C0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La segunda entrega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="000E45AD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1% y 1.979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E85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 la </w:t>
      </w:r>
      <w:r w:rsidR="009679EB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opción 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favorita en su franja, con </w:t>
      </w:r>
      <w:r w:rsidR="00AF420E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4,6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oferta de Antena 3</w:t>
      </w:r>
      <w:r w:rsidR="00AF420E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(9,5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, que emitió la película ‘</w:t>
      </w:r>
      <w:r w:rsidR="00AF420E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Corazones de acero’ (9.3% y 978.000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="00AF420E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umó 1,2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proofErr w:type="gramStart"/>
      <w:r w:rsidR="008F244A" w:rsidRPr="00AF420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AF420E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</w:t>
      </w:r>
      <w:r w:rsidR="00AF420E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15,3</w:t>
      </w:r>
      <w:r w:rsidR="008F244A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imponiéndose </w:t>
      </w:r>
      <w:r w:rsidR="00EB09FB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competidor en todos los </w:t>
      </w:r>
      <w:r w:rsidR="00EB09FB" w:rsidRPr="00AF420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targets</w:t>
      </w:r>
      <w:r w:rsidR="00EB09FB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 y en todos los mercados regionales, 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con especial incidencia entr</w:t>
      </w:r>
      <w:r w:rsidR="00AF420E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el </w:t>
      </w:r>
      <w:r w:rsidR="00AF420E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público de 25 a 34 años</w:t>
      </w:r>
      <w:r w:rsidR="00AF420E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F420E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(18,2</w:t>
      </w:r>
      <w:r w:rsidR="008F244A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. Destacaron los mercados regionales de</w:t>
      </w:r>
      <w:r w:rsidR="007641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4168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(22,</w:t>
      </w:r>
      <w:r w:rsidR="00560F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64168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641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64168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 la Mancha (20,</w:t>
      </w:r>
      <w:r w:rsidR="00560F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8F244A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64168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7641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índices por encima del 20% de </w:t>
      </w:r>
      <w:r w:rsidR="008F244A" w:rsidRPr="00AF420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E2542" w:rsidRPr="008E2542" w:rsidRDefault="00DF385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Previamente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0433B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nformativos Telecinco 21:00 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72C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7641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informativa líder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segunda emisión más vista del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lunes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25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8E2542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2.536 M</w:t>
      </w:r>
      <w:r w:rsidR="008E25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8E2542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14,7%</w:t>
      </w:r>
      <w:r w:rsidR="008E25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8E254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share,</w:t>
      </w:r>
      <w:r w:rsidR="008E25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liderando su franja </w:t>
      </w:r>
      <w:r w:rsidR="008E2542">
        <w:rPr>
          <w:rFonts w:ascii="Arial" w:eastAsia="Times New Roman" w:hAnsi="Arial" w:cs="Arial"/>
          <w:bCs/>
          <w:sz w:val="24"/>
          <w:szCs w:val="24"/>
          <w:lang w:eastAsia="es-ES"/>
        </w:rPr>
        <w:t>frente a Antena 3 (14,3%).</w:t>
      </w:r>
    </w:p>
    <w:p w:rsidR="00F660D6" w:rsidRDefault="00F660D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2565A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E25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8E25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738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proofErr w:type="spellEnd"/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impuso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día más 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 de forma absoluta con </w:t>
      </w:r>
      <w:r w:rsidR="008E2542">
        <w:rPr>
          <w:rFonts w:ascii="Arial" w:eastAsia="Times New Roman" w:hAnsi="Arial" w:cs="Arial"/>
          <w:bCs/>
          <w:sz w:val="24"/>
          <w:szCs w:val="24"/>
          <w:lang w:eastAsia="es-ES"/>
        </w:rPr>
        <w:t>casi 8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8E2542">
        <w:rPr>
          <w:rFonts w:ascii="Arial" w:eastAsia="Times New Roman" w:hAnsi="Arial" w:cs="Arial"/>
          <w:bCs/>
          <w:sz w:val="24"/>
          <w:szCs w:val="24"/>
          <w:lang w:eastAsia="es-ES"/>
        </w:rPr>
        <w:t>1,2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E2542">
        <w:rPr>
          <w:rFonts w:ascii="Arial" w:eastAsia="Times New Roman" w:hAnsi="Arial" w:cs="Arial"/>
          <w:bCs/>
          <w:sz w:val="24"/>
          <w:szCs w:val="24"/>
          <w:lang w:eastAsia="es-ES"/>
        </w:rPr>
        <w:t>430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2646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12565A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12565A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1.281 M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12565A" w:rsidRP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13,2%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12565A" w:rsidRPr="0012565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</w:t>
      </w:r>
      <w:r w:rsidR="00264640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2646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emisión más vista del año, creciendo más de medio punto respecto a la semana pasada en todas sus secciones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12565A" w:rsidRDefault="0012565A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(13,</w:t>
      </w:r>
      <w:r w:rsidR="008E25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1% y 1.704 M), ‘Sálvame Naranja’ (16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E25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1,9</w:t>
      </w:r>
      <w:r w:rsidR="008E25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60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Banana’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8E25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8E25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,081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dominaron sus respec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>tivas franjas sobre Antena 3 (9,2%, 10,2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>13,9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>, seguido de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D17F5">
        <w:rPr>
          <w:rFonts w:ascii="Arial" w:eastAsia="Times New Roman" w:hAnsi="Arial" w:cs="Arial"/>
          <w:bCs/>
          <w:sz w:val="24"/>
          <w:szCs w:val="24"/>
          <w:lang w:eastAsia="es-ES"/>
        </w:rPr>
        <w:t>‘El tirón’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>anot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14,4% </w:t>
      </w:r>
      <w:r w:rsidR="00DF38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share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>con 2.355 M espectadores.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B09FB" w:rsidRPr="009441A2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4,2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televisión 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>con 2,4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Antena 3 (11,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%). Se impuso en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todas las franjas:</w:t>
      </w:r>
      <w:r w:rsidR="009441A2" w:rsidRP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9441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9441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14,8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mañana (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17,3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tarde (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16,1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9441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12,8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9441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9441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9441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11,9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EB09FB" w:rsidRPr="009441A2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64640" w:rsidRDefault="0001555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64640">
        <w:rPr>
          <w:rFonts w:ascii="Arial" w:eastAsia="Times New Roman" w:hAnsi="Arial" w:cs="Arial"/>
          <w:bCs/>
          <w:sz w:val="24"/>
          <w:szCs w:val="24"/>
          <w:lang w:eastAsia="es-ES"/>
        </w:rPr>
        <w:t>la segunda entrega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dates: crucero’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26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8,2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2646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1,187</w:t>
      </w:r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42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su franja sobre La Sexta (7,1%) con 1,1 puntos de ventaja y un 9,3% en </w:t>
      </w:r>
      <w:proofErr w:type="gramStart"/>
      <w:r w:rsidR="002142C0" w:rsidRPr="002142C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2142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:rsidR="003E01E0" w:rsidRDefault="003E01E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Pr="000E45AD" w:rsidRDefault="003E01E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E01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el ranking de televisiones temáticas.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264640" w:rsidRDefault="000E45AD" w:rsidP="002646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sectPr w:rsidR="0026464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7AB7C3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2F09-F425-4B2D-B193-ACB9614A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26</cp:revision>
  <cp:lastPrinted>2020-01-21T11:32:00Z</cp:lastPrinted>
  <dcterms:created xsi:type="dcterms:W3CDTF">2020-01-14T10:09:00Z</dcterms:created>
  <dcterms:modified xsi:type="dcterms:W3CDTF">2020-01-21T11:41:00Z</dcterms:modified>
</cp:coreProperties>
</file>