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E564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3673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7474B" w:rsidRDefault="00157875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E564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19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436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5E5647" w:rsidRDefault="005E5647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La final de </w:t>
      </w:r>
      <w:r w:rsidR="00077293" w:rsidRPr="0084367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6504AB" w:rsidRPr="0084367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Gran Hermano VIP</w:t>
      </w:r>
      <w:r w:rsidR="00154E1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0C7D11" w:rsidRPr="0084367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se convierte en la de mayor </w:t>
      </w:r>
      <w:r w:rsidRPr="005E5647">
        <w:rPr>
          <w:rFonts w:ascii="Arial" w:eastAsia="Times New Roman" w:hAnsi="Arial" w:cs="Arial"/>
          <w:bCs/>
          <w:i/>
          <w:color w:val="002C5F"/>
          <w:sz w:val="48"/>
          <w:szCs w:val="48"/>
          <w:lang w:eastAsia="es-ES"/>
        </w:rPr>
        <w:t>share</w:t>
      </w:r>
      <w:r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 su historia y la más vista de los últimos 4 años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2DCC" w:rsidRDefault="00402014" w:rsidP="00C101FA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un 3</w:t>
      </w:r>
      <w:r w:rsidR="005E564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,5% de </w:t>
      </w:r>
      <w:r w:rsidRPr="005E564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.2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espectadores, la gala </w:t>
      </w:r>
      <w:r w:rsidR="009F1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impuso en 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33</w:t>
      </w:r>
      <w:r w:rsidR="009F152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F1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a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17D8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Antena 3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5,1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251D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61BC5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película ‘Un traidor entre los nuestros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677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BF38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mitad de los espectadores de 13 a 34 años </w:t>
      </w:r>
      <w:r w:rsidR="00133A8E">
        <w:rPr>
          <w:rFonts w:ascii="Arial" w:eastAsia="Times New Roman" w:hAnsi="Arial" w:cs="Arial"/>
          <w:b/>
          <w:sz w:val="24"/>
          <w:szCs w:val="24"/>
          <w:lang w:eastAsia="es-ES"/>
        </w:rPr>
        <w:t>vi</w:t>
      </w:r>
      <w:r w:rsidR="00A248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bookmarkStart w:id="0" w:name="_GoBack"/>
      <w:bookmarkEnd w:id="0"/>
      <w:r w:rsidR="00133A8E">
        <w:rPr>
          <w:rFonts w:ascii="Arial" w:eastAsia="Times New Roman" w:hAnsi="Arial" w:cs="Arial"/>
          <w:b/>
          <w:sz w:val="24"/>
          <w:szCs w:val="24"/>
          <w:lang w:eastAsia="es-ES"/>
        </w:rPr>
        <w:t>la gala</w:t>
      </w:r>
    </w:p>
    <w:p w:rsidR="009F1525" w:rsidRPr="00C60A73" w:rsidRDefault="009F1525" w:rsidP="00C101FA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1525" w:rsidRDefault="009F1525" w:rsidP="009F1525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C60A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324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 espectadores,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previo a la gala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proofErr w:type="gramStart"/>
      <w:r w:rsidRPr="008436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anotó su mejor dato del curso televisivo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fue la emisión más vista del día, con 11,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de ventaja sobre ‘El hormiguero’ (1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336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</w:p>
    <w:p w:rsidR="00166D6F" w:rsidRPr="00C60A73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03E9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coronó el ranking de los espacios más vistos del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‘GH VIP: Express’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678F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Informativos Telecinco 21:00 h </w:t>
      </w:r>
    </w:p>
    <w:p w:rsidR="003A7772" w:rsidRPr="00B10D56" w:rsidRDefault="003A7772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7407" w:rsidRPr="00A53A8C" w:rsidRDefault="0067043D" w:rsidP="00BF38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0052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3A7772">
        <w:rPr>
          <w:rFonts w:ascii="Arial" w:eastAsia="Times New Roman" w:hAnsi="Arial" w:cs="Arial"/>
          <w:sz w:val="24"/>
          <w:szCs w:val="24"/>
          <w:lang w:eastAsia="es-ES"/>
        </w:rPr>
        <w:t xml:space="preserve">puso anoche su broche de oro con una final en la que </w:t>
      </w:r>
      <w:r w:rsidR="0089740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A7772">
        <w:rPr>
          <w:rFonts w:ascii="Arial" w:eastAsia="Times New Roman" w:hAnsi="Arial" w:cs="Arial"/>
          <w:sz w:val="24"/>
          <w:szCs w:val="24"/>
          <w:lang w:eastAsia="es-ES"/>
        </w:rPr>
        <w:t xml:space="preserve">os espectadores demostraron como nunca su apoyo </w:t>
      </w:r>
      <w:proofErr w:type="spellStart"/>
      <w:r w:rsidR="003A7772">
        <w:rPr>
          <w:rFonts w:ascii="Arial" w:eastAsia="Times New Roman" w:hAnsi="Arial" w:cs="Arial"/>
          <w:sz w:val="24"/>
          <w:szCs w:val="24"/>
          <w:lang w:eastAsia="es-ES"/>
        </w:rPr>
        <w:t>al</w:t>
      </w:r>
      <w:proofErr w:type="spellEnd"/>
      <w:r w:rsidR="003A7772">
        <w:rPr>
          <w:rFonts w:ascii="Arial" w:eastAsia="Times New Roman" w:hAnsi="Arial" w:cs="Arial"/>
          <w:sz w:val="24"/>
          <w:szCs w:val="24"/>
          <w:lang w:eastAsia="es-ES"/>
        </w:rPr>
        <w:t xml:space="preserve"> formato. </w:t>
      </w:r>
      <w:r w:rsidR="00BF387D"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="00BF387D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065033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>inal con la cuota de pantalla más alta de su historia</w:t>
      </w:r>
      <w:r w:rsidR="00BF387D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65033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final con mayor número de seguidores desde marzo de 2015</w:t>
      </w:r>
      <w:r w:rsidR="00787B7D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F387D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065033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edición más vista del </w:t>
      </w:r>
      <w:proofErr w:type="spellStart"/>
      <w:proofErr w:type="gramStart"/>
      <w:r w:rsidR="00065033" w:rsidRPr="00A53A8C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proofErr w:type="gramEnd"/>
      <w:r w:rsidR="00065033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 temporada</w:t>
      </w:r>
      <w:r w:rsidR="00897407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minuto de oro más alto de ‘GH VIP </w:t>
      </w:r>
      <w:r w:rsidR="00B525F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97407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53A8C">
        <w:rPr>
          <w:rFonts w:ascii="Arial" w:eastAsia="Times New Roman" w:hAnsi="Arial" w:cs="Arial"/>
          <w:b/>
          <w:sz w:val="24"/>
          <w:szCs w:val="24"/>
          <w:lang w:eastAsia="es-ES"/>
        </w:rPr>
        <w:t>, a las 23:29 h,</w:t>
      </w:r>
      <w:r w:rsidR="00897407" w:rsidRP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más de 5 millones personas pendientes de conocer su ganadora</w:t>
      </w:r>
      <w:r w:rsidR="00A53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53A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A53A8C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A53A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093</w:t>
      </w:r>
      <w:r w:rsidR="00A53A8C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 y </w:t>
      </w:r>
      <w:r w:rsidR="00A53A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33</w:t>
      </w:r>
      <w:r w:rsidR="00A53A8C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A53A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A53A8C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="00A53A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).</w:t>
      </w:r>
    </w:p>
    <w:p w:rsidR="00A53A8C" w:rsidRDefault="0030052D" w:rsidP="00BF38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 </w:t>
      </w:r>
      <w:r w:rsidR="00BF387D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89740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</w:t>
      </w:r>
      <w:r w:rsidR="00A53A8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A53A8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A53A8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A53A8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</w:p>
    <w:p w:rsidR="00B10D56" w:rsidRDefault="00A53A8C" w:rsidP="00A53A8C">
      <w:pPr>
        <w:spacing w:after="0" w:line="240" w:lineRule="auto"/>
        <w:ind w:left="5380" w:right="-568" w:firstLine="99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06503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114935</wp:posOffset>
            </wp:positionV>
            <wp:extent cx="1527810" cy="3203575"/>
            <wp:effectExtent l="0" t="0" r="0" b="0"/>
            <wp:wrapTight wrapText="bothSides">
              <wp:wrapPolygon edited="0">
                <wp:start x="0" y="128"/>
                <wp:lineTo x="0" y="21450"/>
                <wp:lineTo x="16429" y="21450"/>
                <wp:lineTo x="20200" y="21065"/>
                <wp:lineTo x="19930" y="20936"/>
                <wp:lineTo x="21277" y="20423"/>
                <wp:lineTo x="21277" y="18881"/>
                <wp:lineTo x="16429" y="18881"/>
                <wp:lineTo x="19661" y="18239"/>
                <wp:lineTo x="19661" y="17083"/>
                <wp:lineTo x="21277" y="16826"/>
                <wp:lineTo x="21277" y="15413"/>
                <wp:lineTo x="16429" y="14771"/>
                <wp:lineTo x="21007" y="14514"/>
                <wp:lineTo x="21277" y="12844"/>
                <wp:lineTo x="19930" y="12716"/>
                <wp:lineTo x="21007" y="11945"/>
                <wp:lineTo x="19661" y="10661"/>
                <wp:lineTo x="21007" y="9248"/>
                <wp:lineTo x="21277" y="8477"/>
                <wp:lineTo x="21277" y="6808"/>
                <wp:lineTo x="16429" y="6551"/>
                <wp:lineTo x="21277" y="6037"/>
                <wp:lineTo x="21277" y="4496"/>
                <wp:lineTo x="19392" y="4496"/>
                <wp:lineTo x="20469" y="3853"/>
                <wp:lineTo x="20200" y="2440"/>
                <wp:lineTo x="21277" y="899"/>
                <wp:lineTo x="19930" y="128"/>
                <wp:lineTo x="0" y="128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</w:t>
      </w:r>
      <w:r w:rsidR="0089740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>Fr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anja ‘GH VIP</w:t>
      </w:r>
      <w:r w:rsidR="00EE0AA2">
        <w:rPr>
          <w:rFonts w:ascii="Arial" w:eastAsia="Times New Roman" w:hAnsi="Arial" w:cs="Arial"/>
          <w:b/>
          <w:sz w:val="16"/>
          <w:szCs w:val="16"/>
          <w:lang w:eastAsia="es-ES"/>
        </w:rPr>
        <w:t>’</w:t>
      </w:r>
      <w:r w:rsidR="004D487B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487B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>59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-01:</w:t>
      </w:r>
      <w:r w:rsidR="003C4957">
        <w:rPr>
          <w:rFonts w:ascii="Arial" w:eastAsia="Times New Roman" w:hAnsi="Arial" w:cs="Arial"/>
          <w:b/>
          <w:sz w:val="16"/>
          <w:szCs w:val="16"/>
          <w:lang w:eastAsia="es-ES"/>
        </w:rPr>
        <w:t>5</w:t>
      </w:r>
      <w:r w:rsidR="00065033">
        <w:rPr>
          <w:rFonts w:ascii="Arial" w:eastAsia="Times New Roman" w:hAnsi="Arial" w:cs="Arial"/>
          <w:b/>
          <w:sz w:val="16"/>
          <w:szCs w:val="16"/>
          <w:lang w:eastAsia="es-ES"/>
        </w:rPr>
        <w:t>8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BF7896" w:rsidRDefault="007214F4" w:rsidP="003C4957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83D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creció hasta el </w:t>
      </w:r>
      <w:r w:rsidR="00065033" w:rsidRPr="00065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40</w:t>
      </w:r>
      <w:r w:rsidR="004A5073" w:rsidRPr="00065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065033" w:rsidRPr="000650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4A5073" w:rsidRPr="004A50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="004A5073" w:rsidRPr="004A507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="004A5073" w:rsidRPr="004A50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 </w:t>
      </w:r>
      <w:proofErr w:type="gramStart"/>
      <w:r w:rsidR="004A5073" w:rsidRPr="004A507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4A5073" w:rsidRPr="004A50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comercial</w:t>
      </w:r>
      <w:r w:rsidR="004A50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frente al 4,</w:t>
      </w:r>
      <w:r w:rsidR="0006503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 de su competidor en este parámetro. Se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impuso en todos los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targets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edades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especial incidencia entre los jóvenes de 13 a 24 años (4</w:t>
      </w:r>
      <w:r w:rsidR="0006503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6503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 y entre 25 a 34 años (</w:t>
      </w:r>
      <w:r w:rsidR="0006503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46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6503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 Entr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mercados regionales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destac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aron </w:t>
      </w:r>
      <w:r w:rsidR="00E512D5" w:rsidRP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Murcia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6E6A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50,7%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Asturias (4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D466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y Andalucía (46,5%) </w:t>
      </w:r>
      <w:r w:rsidR="00BF387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índices en torno al 50% 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3C4957" w:rsidRDefault="003C495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51F18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Express’ (2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,9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324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resultado de la temporada</w:t>
      </w:r>
      <w:r w:rsidR="00EA11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que 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en más de 10 puntos 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B003E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Antena 3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</w:t>
      </w:r>
      <w:r w:rsidR="00BF387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F387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%). </w:t>
      </w:r>
    </w:p>
    <w:p w:rsidR="00BF387D" w:rsidRDefault="00BF387D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BF387D" w:rsidRDefault="00BF387D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E71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525F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ha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finaliza</w:t>
      </w:r>
      <w:r w:rsidR="00B525F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su </w:t>
      </w:r>
      <w:r w:rsidR="00B525F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séptima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temporada con una audiencia media de </w:t>
      </w:r>
      <w:r w:rsidRPr="00DE71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3.263.000 espectadores </w:t>
      </w:r>
      <w:proofErr w:type="spellStart"/>
      <w:r w:rsidRPr="00DE71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y</w:t>
      </w:r>
      <w:proofErr w:type="spellEnd"/>
      <w:r w:rsidRPr="00DE71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el 32,5% de </w:t>
      </w:r>
      <w:r w:rsidRPr="00DE718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lo que le convierte en la </w:t>
      </w:r>
      <w:r w:rsidRPr="00DE71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edición con su mayor cuota de pantalla de su historia y la más vista desde ‘GH VIP 3’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BF387D" w:rsidRDefault="00BF387D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A53A8C" w:rsidRDefault="00A53A8C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A53A8C" w:rsidRDefault="00A53A8C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2344E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lastRenderedPageBreak/>
        <w:t>Informativos Telecinco 21 h (1</w:t>
      </w:r>
      <w:r w:rsidR="008742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 w:rsidR="00C55D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533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</w:t>
      </w:r>
      <w:r w:rsidR="008742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F030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ventaja sobre 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Noticias 2 (1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6B42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014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9F1525" w:rsidRDefault="009F1525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F2179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47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 xml:space="preserve">al imponerse en 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86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.000). También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547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767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93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4297" w:rsidRPr="00874297">
        <w:rPr>
          <w:rFonts w:ascii="Arial" w:eastAsia="Times New Roman" w:hAnsi="Arial" w:cs="Arial"/>
          <w:sz w:val="24"/>
          <w:szCs w:val="24"/>
          <w:lang w:eastAsia="es-ES"/>
        </w:rPr>
        <w:t xml:space="preserve">lideraron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sus respectivas bandas sobre Antena 3 (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0,9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7097" w:rsidRPr="00767097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(16,9% y 2.440.000)</w:t>
      </w:r>
      <w:r w:rsidR="00767097">
        <w:rPr>
          <w:rFonts w:ascii="Arial" w:eastAsia="Times New Roman" w:hAnsi="Arial" w:cs="Arial"/>
          <w:sz w:val="24"/>
          <w:szCs w:val="24"/>
          <w:lang w:eastAsia="es-ES"/>
        </w:rPr>
        <w:t xml:space="preserve"> volvió a ser el favorito para los espectadores en su franja de emisión con su tercer mejor jueves desde su estreno.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B2DD4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3525E8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con 9,7 puntos de ventaja sobre Antena 3 (10,9%)</w:t>
      </w:r>
      <w:r w:rsidR="00C55D5F" w:rsidRPr="00C55D5F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982F74">
        <w:rPr>
          <w:rFonts w:ascii="Arial" w:eastAsia="Times New Roman" w:hAnsi="Arial" w:cs="Arial"/>
          <w:sz w:val="24"/>
          <w:szCs w:val="24"/>
          <w:lang w:eastAsia="es-ES"/>
        </w:rPr>
        <w:t>alzó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68C2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C7310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mañana (1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8,2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arde (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42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370E3B" w:rsidSect="00E6114A">
      <w:footerReference w:type="default" r:id="rId10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3333C"/>
    <w:rsid w:val="00044BF1"/>
    <w:rsid w:val="000455E8"/>
    <w:rsid w:val="00046C91"/>
    <w:rsid w:val="000479FA"/>
    <w:rsid w:val="000547CD"/>
    <w:rsid w:val="00064EDB"/>
    <w:rsid w:val="00065033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21A"/>
    <w:rsid w:val="000C7D11"/>
    <w:rsid w:val="000D085F"/>
    <w:rsid w:val="000D3A77"/>
    <w:rsid w:val="000D5681"/>
    <w:rsid w:val="000D5D85"/>
    <w:rsid w:val="000E6AE2"/>
    <w:rsid w:val="000E7B76"/>
    <w:rsid w:val="000E7DD4"/>
    <w:rsid w:val="000F0F74"/>
    <w:rsid w:val="001026A9"/>
    <w:rsid w:val="00107EA3"/>
    <w:rsid w:val="001143BE"/>
    <w:rsid w:val="0011537F"/>
    <w:rsid w:val="00125164"/>
    <w:rsid w:val="0013144A"/>
    <w:rsid w:val="00133A8E"/>
    <w:rsid w:val="001357A2"/>
    <w:rsid w:val="00140F31"/>
    <w:rsid w:val="0014163C"/>
    <w:rsid w:val="00142DF5"/>
    <w:rsid w:val="001455E6"/>
    <w:rsid w:val="00154E1D"/>
    <w:rsid w:val="00157875"/>
    <w:rsid w:val="0016295E"/>
    <w:rsid w:val="00165B77"/>
    <w:rsid w:val="00166D6F"/>
    <w:rsid w:val="0017474B"/>
    <w:rsid w:val="00174A49"/>
    <w:rsid w:val="00177713"/>
    <w:rsid w:val="00183DCF"/>
    <w:rsid w:val="00194973"/>
    <w:rsid w:val="001A19CF"/>
    <w:rsid w:val="001A3724"/>
    <w:rsid w:val="001A387B"/>
    <w:rsid w:val="001A583E"/>
    <w:rsid w:val="001C2247"/>
    <w:rsid w:val="001C238A"/>
    <w:rsid w:val="001C3BD2"/>
    <w:rsid w:val="001C629B"/>
    <w:rsid w:val="001C72E7"/>
    <w:rsid w:val="001D7F46"/>
    <w:rsid w:val="001E18C9"/>
    <w:rsid w:val="001E509D"/>
    <w:rsid w:val="001F0857"/>
    <w:rsid w:val="0020300B"/>
    <w:rsid w:val="002156AF"/>
    <w:rsid w:val="00232415"/>
    <w:rsid w:val="00234F5D"/>
    <w:rsid w:val="002421CD"/>
    <w:rsid w:val="002426E6"/>
    <w:rsid w:val="00242B3B"/>
    <w:rsid w:val="00244570"/>
    <w:rsid w:val="002503E9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3E13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2D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5E8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A68C2"/>
    <w:rsid w:val="003A7772"/>
    <w:rsid w:val="003B7F6A"/>
    <w:rsid w:val="003C2B7D"/>
    <w:rsid w:val="003C4706"/>
    <w:rsid w:val="003C4957"/>
    <w:rsid w:val="003C50DD"/>
    <w:rsid w:val="003C63C9"/>
    <w:rsid w:val="003C6FA1"/>
    <w:rsid w:val="003D01D5"/>
    <w:rsid w:val="003D53DE"/>
    <w:rsid w:val="003D657F"/>
    <w:rsid w:val="003D682F"/>
    <w:rsid w:val="003D684E"/>
    <w:rsid w:val="003E10D1"/>
    <w:rsid w:val="003E5E96"/>
    <w:rsid w:val="00400E98"/>
    <w:rsid w:val="00402014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5073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45CB4"/>
    <w:rsid w:val="005614A2"/>
    <w:rsid w:val="00563B61"/>
    <w:rsid w:val="005655F1"/>
    <w:rsid w:val="00581771"/>
    <w:rsid w:val="005923ED"/>
    <w:rsid w:val="00593488"/>
    <w:rsid w:val="00597FED"/>
    <w:rsid w:val="005A08D5"/>
    <w:rsid w:val="005A2A9C"/>
    <w:rsid w:val="005A2DCC"/>
    <w:rsid w:val="005A6322"/>
    <w:rsid w:val="005A6B9B"/>
    <w:rsid w:val="005C7DE3"/>
    <w:rsid w:val="005D6044"/>
    <w:rsid w:val="005D6687"/>
    <w:rsid w:val="005E5647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22DD"/>
    <w:rsid w:val="006569DD"/>
    <w:rsid w:val="00661207"/>
    <w:rsid w:val="0066131B"/>
    <w:rsid w:val="00662B33"/>
    <w:rsid w:val="0066678F"/>
    <w:rsid w:val="0067043D"/>
    <w:rsid w:val="006710DD"/>
    <w:rsid w:val="006808AA"/>
    <w:rsid w:val="00685457"/>
    <w:rsid w:val="00687535"/>
    <w:rsid w:val="00691DCC"/>
    <w:rsid w:val="006A51F9"/>
    <w:rsid w:val="006A5C55"/>
    <w:rsid w:val="006B42FA"/>
    <w:rsid w:val="006C17DD"/>
    <w:rsid w:val="006C1D2C"/>
    <w:rsid w:val="006C721F"/>
    <w:rsid w:val="006D69C6"/>
    <w:rsid w:val="006E0890"/>
    <w:rsid w:val="006E2CE9"/>
    <w:rsid w:val="006E4DBE"/>
    <w:rsid w:val="006E6AC6"/>
    <w:rsid w:val="006F60A4"/>
    <w:rsid w:val="006F72D0"/>
    <w:rsid w:val="00701F52"/>
    <w:rsid w:val="007047B5"/>
    <w:rsid w:val="00705B08"/>
    <w:rsid w:val="007072F1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67097"/>
    <w:rsid w:val="007720F5"/>
    <w:rsid w:val="00774349"/>
    <w:rsid w:val="007756BD"/>
    <w:rsid w:val="00781AF7"/>
    <w:rsid w:val="00782465"/>
    <w:rsid w:val="00786425"/>
    <w:rsid w:val="00787B7D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25195"/>
    <w:rsid w:val="00833505"/>
    <w:rsid w:val="0083605A"/>
    <w:rsid w:val="008365B5"/>
    <w:rsid w:val="00843673"/>
    <w:rsid w:val="00844940"/>
    <w:rsid w:val="00844C63"/>
    <w:rsid w:val="008461AB"/>
    <w:rsid w:val="008461DF"/>
    <w:rsid w:val="008476F7"/>
    <w:rsid w:val="00847F27"/>
    <w:rsid w:val="008522E1"/>
    <w:rsid w:val="00853B37"/>
    <w:rsid w:val="008560D1"/>
    <w:rsid w:val="00861550"/>
    <w:rsid w:val="00874297"/>
    <w:rsid w:val="00877A3E"/>
    <w:rsid w:val="00885947"/>
    <w:rsid w:val="00890F05"/>
    <w:rsid w:val="00891C85"/>
    <w:rsid w:val="008943EC"/>
    <w:rsid w:val="00897407"/>
    <w:rsid w:val="008A3067"/>
    <w:rsid w:val="008A366A"/>
    <w:rsid w:val="008A51AE"/>
    <w:rsid w:val="008B72B0"/>
    <w:rsid w:val="008B76F1"/>
    <w:rsid w:val="008C0D19"/>
    <w:rsid w:val="008C7260"/>
    <w:rsid w:val="008E073D"/>
    <w:rsid w:val="008E61D0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2F74"/>
    <w:rsid w:val="009831C4"/>
    <w:rsid w:val="00986EFA"/>
    <w:rsid w:val="0099041C"/>
    <w:rsid w:val="00991499"/>
    <w:rsid w:val="0099687D"/>
    <w:rsid w:val="009A4F81"/>
    <w:rsid w:val="009A6685"/>
    <w:rsid w:val="009B0A54"/>
    <w:rsid w:val="009B359A"/>
    <w:rsid w:val="009C5349"/>
    <w:rsid w:val="009D3508"/>
    <w:rsid w:val="009D6C9A"/>
    <w:rsid w:val="009E0EDE"/>
    <w:rsid w:val="009E36C0"/>
    <w:rsid w:val="009E4F15"/>
    <w:rsid w:val="009E5CCF"/>
    <w:rsid w:val="009F1525"/>
    <w:rsid w:val="009F1758"/>
    <w:rsid w:val="009F2458"/>
    <w:rsid w:val="00A05F28"/>
    <w:rsid w:val="00A17220"/>
    <w:rsid w:val="00A24829"/>
    <w:rsid w:val="00A40667"/>
    <w:rsid w:val="00A4118B"/>
    <w:rsid w:val="00A511F7"/>
    <w:rsid w:val="00A53A8C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482E"/>
    <w:rsid w:val="00AE56D6"/>
    <w:rsid w:val="00AF4996"/>
    <w:rsid w:val="00AF76D9"/>
    <w:rsid w:val="00B003E7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525F3"/>
    <w:rsid w:val="00B7254A"/>
    <w:rsid w:val="00B7664E"/>
    <w:rsid w:val="00B820CD"/>
    <w:rsid w:val="00B843B1"/>
    <w:rsid w:val="00B93FFE"/>
    <w:rsid w:val="00BA2010"/>
    <w:rsid w:val="00BA5700"/>
    <w:rsid w:val="00BB5601"/>
    <w:rsid w:val="00BC17D8"/>
    <w:rsid w:val="00BD1691"/>
    <w:rsid w:val="00BD613C"/>
    <w:rsid w:val="00BE13CE"/>
    <w:rsid w:val="00BE6AB1"/>
    <w:rsid w:val="00BF387D"/>
    <w:rsid w:val="00BF7896"/>
    <w:rsid w:val="00C028BF"/>
    <w:rsid w:val="00C101FA"/>
    <w:rsid w:val="00C1400D"/>
    <w:rsid w:val="00C153C2"/>
    <w:rsid w:val="00C15F45"/>
    <w:rsid w:val="00C175F6"/>
    <w:rsid w:val="00C2344E"/>
    <w:rsid w:val="00C34F53"/>
    <w:rsid w:val="00C418AF"/>
    <w:rsid w:val="00C46510"/>
    <w:rsid w:val="00C51BFA"/>
    <w:rsid w:val="00C51F18"/>
    <w:rsid w:val="00C55D5F"/>
    <w:rsid w:val="00C60A73"/>
    <w:rsid w:val="00C61DCE"/>
    <w:rsid w:val="00C622CA"/>
    <w:rsid w:val="00C66455"/>
    <w:rsid w:val="00C71DB0"/>
    <w:rsid w:val="00C71EA6"/>
    <w:rsid w:val="00C73103"/>
    <w:rsid w:val="00C746AC"/>
    <w:rsid w:val="00C8363C"/>
    <w:rsid w:val="00CA28B2"/>
    <w:rsid w:val="00CA5DD4"/>
    <w:rsid w:val="00CA5E59"/>
    <w:rsid w:val="00CA640C"/>
    <w:rsid w:val="00CB2DD4"/>
    <w:rsid w:val="00CC3752"/>
    <w:rsid w:val="00CC4C67"/>
    <w:rsid w:val="00CC71DC"/>
    <w:rsid w:val="00CD469D"/>
    <w:rsid w:val="00CE09F6"/>
    <w:rsid w:val="00CE4CCB"/>
    <w:rsid w:val="00CF11F3"/>
    <w:rsid w:val="00CF492C"/>
    <w:rsid w:val="00CF4CF9"/>
    <w:rsid w:val="00CF55C0"/>
    <w:rsid w:val="00D21732"/>
    <w:rsid w:val="00D41EA6"/>
    <w:rsid w:val="00D466CC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A7E22"/>
    <w:rsid w:val="00DC2355"/>
    <w:rsid w:val="00DC3DA1"/>
    <w:rsid w:val="00DC563A"/>
    <w:rsid w:val="00DC7879"/>
    <w:rsid w:val="00DE7189"/>
    <w:rsid w:val="00DF0AC4"/>
    <w:rsid w:val="00DF3D1E"/>
    <w:rsid w:val="00DF46FE"/>
    <w:rsid w:val="00DF79B1"/>
    <w:rsid w:val="00E22328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0E83"/>
    <w:rsid w:val="00EA1120"/>
    <w:rsid w:val="00EA3A71"/>
    <w:rsid w:val="00EA7847"/>
    <w:rsid w:val="00EB0281"/>
    <w:rsid w:val="00EC60B8"/>
    <w:rsid w:val="00EC7823"/>
    <w:rsid w:val="00EE0AA2"/>
    <w:rsid w:val="00EE714F"/>
    <w:rsid w:val="00EF2179"/>
    <w:rsid w:val="00EF6B66"/>
    <w:rsid w:val="00F0305C"/>
    <w:rsid w:val="00F12401"/>
    <w:rsid w:val="00F16689"/>
    <w:rsid w:val="00F21327"/>
    <w:rsid w:val="00F253D2"/>
    <w:rsid w:val="00F26121"/>
    <w:rsid w:val="00F275A9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5741B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A83AC1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F6E0-B075-4E6B-BD2B-95B41A0E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2019-12-20T09:23:00Z</cp:lastPrinted>
  <dcterms:created xsi:type="dcterms:W3CDTF">2019-12-20T08:31:00Z</dcterms:created>
  <dcterms:modified xsi:type="dcterms:W3CDTF">2019-12-20T09:38:00Z</dcterms:modified>
</cp:coreProperties>
</file>