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B27E50">
      <w:pPr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F4A" w:rsidRDefault="00B23904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F7EB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33A57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3D064E" w:rsidRDefault="003D064E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D33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D33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DICIEMBRE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54926" w:rsidRDefault="00654926" w:rsidP="00B27E5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lidera el domingo con </w:t>
      </w:r>
      <w:r w:rsidR="007A6721"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</w:t>
      </w:r>
      <w:r w:rsidR="008A4D7A"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el debate</w:t>
      </w:r>
      <w:r w:rsidR="007A6721"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sus dos ediciones de </w:t>
      </w:r>
      <w:r w:rsidR="00AB3C7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nformativos</w:t>
      </w:r>
      <w:r w:rsidR="00AB3C7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como lo más visto</w:t>
      </w:r>
      <w:r w:rsidR="00FD245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día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  </w:t>
      </w:r>
    </w:p>
    <w:p w:rsidR="002E7028" w:rsidRDefault="002E7028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554AD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fue el espacio más visto del día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 su tercera emisión más vista de la temporada, triplicando la oferta de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en su franja 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(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%)</w:t>
      </w: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654926" w:rsidRDefault="00654926" w:rsidP="009E4C5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rmativos Telecinco 21</w:t>
      </w:r>
      <w:r w:rsidR="008E44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h (1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141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000</w:t>
      </w:r>
      <w:r w:rsidR="00292A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referente informativo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 jornada</w:t>
      </w:r>
      <w:r w:rsidR="00EF7E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 La edición de las 15:00 h (</w:t>
      </w:r>
      <w:r w:rsidR="00DF3F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DF3F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DF3F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 w:rsidR="00DF3F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867</w:t>
      </w:r>
      <w:r w:rsidR="00DF3F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 lideró su franja con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05B6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 punto de ventaja sobre Antena 3 Noticias 1</w:t>
      </w:r>
      <w:r w:rsidR="00D469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Fin de Semana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(13,</w:t>
      </w:r>
      <w:r w:rsidR="00405B6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%)</w:t>
      </w:r>
    </w:p>
    <w:p w:rsidR="00DF3FE6" w:rsidRDefault="00DF3FE6" w:rsidP="009E4C5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AB7900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2.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35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creció 3 décimas respecto a la semana pasada </w:t>
      </w:r>
      <w:r w:rsidR="006549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se impuso en 15,5 puntos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en su franja (</w:t>
      </w:r>
      <w:r w:rsidR="006549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7,3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emitió la película ‘</w:t>
      </w:r>
      <w:r w:rsidR="006549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Fiesta </w:t>
      </w:r>
      <w:r w:rsidR="00A071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empresa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A071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7,7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</w:t>
      </w:r>
      <w:r w:rsidR="00A071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180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AB7900" w:rsidRDefault="00AB7900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229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41CB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D5D1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16229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D5D1E">
        <w:rPr>
          <w:rFonts w:ascii="Arial" w:eastAsia="Times New Roman" w:hAnsi="Arial" w:cs="Arial"/>
          <w:b/>
          <w:sz w:val="24"/>
          <w:szCs w:val="24"/>
          <w:lang w:eastAsia="es-ES"/>
        </w:rPr>
        <w:t>48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A24A1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lideró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7D5D1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de 18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puntos sobre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(</w:t>
      </w:r>
      <w:r w:rsidR="007D5D1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D240D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0532F0" w:rsidRDefault="00F902A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902A9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8E443F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A4D26" w:rsidRPr="004813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referente informativo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</w:t>
      </w:r>
      <w:r w:rsidR="008E44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405B6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5B6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405B6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405B62">
        <w:rPr>
          <w:rFonts w:ascii="Arial" w:eastAsia="Times New Roman" w:hAnsi="Arial" w:cs="Arial"/>
          <w:b/>
          <w:sz w:val="24"/>
          <w:szCs w:val="24"/>
          <w:lang w:eastAsia="es-ES"/>
        </w:rPr>
        <w:t>867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>),</w:t>
      </w:r>
      <w:r w:rsidR="00660839">
        <w:rPr>
          <w:rFonts w:ascii="Arial" w:eastAsia="Times New Roman" w:hAnsi="Arial" w:cs="Arial"/>
          <w:sz w:val="24"/>
          <w:szCs w:val="24"/>
          <w:lang w:eastAsia="es-ES"/>
        </w:rPr>
        <w:t xml:space="preserve"> segundo espacio más visto del día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una vent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aja de 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65E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sobre Antena 3 Noticias 2 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 xml:space="preserve">Fin de Semana 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6229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714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4E8F">
        <w:rPr>
          <w:rFonts w:ascii="Arial" w:eastAsia="Times New Roman" w:hAnsi="Arial" w:cs="Arial"/>
          <w:sz w:val="24"/>
          <w:szCs w:val="24"/>
          <w:lang w:eastAsia="es-ES"/>
        </w:rPr>
        <w:t>Y en</w:t>
      </w:r>
      <w:bookmarkStart w:id="0" w:name="_GoBack"/>
      <w:bookmarkEnd w:id="0"/>
      <w:r w:rsidR="00C04E8F">
        <w:rPr>
          <w:rFonts w:ascii="Arial" w:eastAsia="Times New Roman" w:hAnsi="Arial" w:cs="Arial"/>
          <w:sz w:val="24"/>
          <w:szCs w:val="24"/>
          <w:lang w:eastAsia="es-ES"/>
        </w:rPr>
        <w:t xml:space="preserve"> tercera posición del </w:t>
      </w:r>
      <w:proofErr w:type="spellStart"/>
      <w:r w:rsidR="00C04E8F">
        <w:rPr>
          <w:rFonts w:ascii="Arial" w:eastAsia="Times New Roman" w:hAnsi="Arial" w:cs="Arial"/>
          <w:sz w:val="24"/>
          <w:szCs w:val="24"/>
          <w:lang w:eastAsia="es-ES"/>
        </w:rPr>
        <w:t>ránking</w:t>
      </w:r>
      <w:proofErr w:type="spellEnd"/>
      <w:r w:rsidR="00C04E8F"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a edición de las 15:00 h (1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867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.000) también lideró su banda de emisión con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casi 1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 xml:space="preserve"> punto 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 xml:space="preserve">sobre Antena 3 Noticias 1 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 xml:space="preserve">Fin de Semana 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735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5944" w:rsidRPr="00405B62" w:rsidRDefault="009E5DA1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F0D0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azamariposas’ (1</w:t>
      </w:r>
      <w:r w:rsidR="00B4159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B4159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405B62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5F07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su 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 xml:space="preserve">banda de emisión y duplicó a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B5944">
        <w:rPr>
          <w:rFonts w:ascii="Arial" w:eastAsia="Times New Roman" w:hAnsi="Arial" w:cs="Arial"/>
          <w:sz w:val="24"/>
          <w:szCs w:val="24"/>
          <w:lang w:eastAsia="es-ES"/>
        </w:rPr>
        <w:t>ntena 3 (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B5944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A639C6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05B62" w:rsidRPr="00405B62">
        <w:rPr>
          <w:rFonts w:ascii="Arial" w:eastAsia="Times New Roman" w:hAnsi="Arial" w:cs="Arial"/>
          <w:b/>
          <w:sz w:val="24"/>
          <w:szCs w:val="24"/>
          <w:lang w:eastAsia="es-ES"/>
        </w:rPr>
        <w:t>‘Viva la vida’ (12,3% y 1.705.000)</w:t>
      </w:r>
      <w:r w:rsidR="00405B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C4156">
        <w:rPr>
          <w:rFonts w:ascii="Arial" w:eastAsia="Times New Roman" w:hAnsi="Arial" w:cs="Arial"/>
          <w:sz w:val="24"/>
          <w:szCs w:val="24"/>
          <w:lang w:eastAsia="es-ES"/>
        </w:rPr>
        <w:t xml:space="preserve">registró su </w:t>
      </w:r>
      <w:r w:rsidR="00FF022E">
        <w:rPr>
          <w:rFonts w:ascii="Arial" w:eastAsia="Times New Roman" w:hAnsi="Arial" w:cs="Arial"/>
          <w:sz w:val="24"/>
          <w:szCs w:val="24"/>
          <w:lang w:eastAsia="es-ES"/>
        </w:rPr>
        <w:t xml:space="preserve">segunda emisión más vista de la temporada y </w:t>
      </w:r>
      <w:r w:rsidR="00980247">
        <w:rPr>
          <w:rFonts w:ascii="Arial" w:eastAsia="Times New Roman" w:hAnsi="Arial" w:cs="Arial"/>
          <w:sz w:val="24"/>
          <w:szCs w:val="24"/>
          <w:lang w:eastAsia="es-ES"/>
        </w:rPr>
        <w:t xml:space="preserve">se impuso en 1 punto a </w:t>
      </w:r>
      <w:r w:rsidR="00FF022E">
        <w:rPr>
          <w:rFonts w:ascii="Arial" w:eastAsia="Times New Roman" w:hAnsi="Arial" w:cs="Arial"/>
          <w:sz w:val="24"/>
          <w:szCs w:val="24"/>
          <w:lang w:eastAsia="es-ES"/>
        </w:rPr>
        <w:t>la oferta de Antena 3 en su franja (</w:t>
      </w:r>
      <w:r w:rsidR="00980247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FF022E">
        <w:rPr>
          <w:rFonts w:ascii="Arial" w:eastAsia="Times New Roman" w:hAnsi="Arial" w:cs="Arial"/>
          <w:sz w:val="24"/>
          <w:szCs w:val="24"/>
          <w:lang w:eastAsia="es-ES"/>
        </w:rPr>
        <w:t xml:space="preserve">,3%). </w:t>
      </w:r>
      <w:r w:rsidR="00405B62" w:rsidRPr="00405B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B5944" w:rsidRPr="00405B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F2F4A" w:rsidRDefault="008E443F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E443F">
        <w:rPr>
          <w:rFonts w:ascii="Arial" w:eastAsia="Times New Roman" w:hAnsi="Arial" w:cs="Arial"/>
          <w:sz w:val="24"/>
          <w:szCs w:val="24"/>
          <w:lang w:eastAsia="es-ES"/>
        </w:rPr>
        <w:t>Con estos resultados,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fue la televisión más vista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domingo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 6,5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 Antena 3 (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Lideró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todas las 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 xml:space="preserve">sobremesa (12,4%), 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tarde (13%),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="00157875"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6,5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0532F0" w:rsidRDefault="000532F0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552" w:rsidRDefault="009F0552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Cuatro (6,</w:t>
      </w:r>
      <w:r w:rsidR="00A067D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impuso en 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sz w:val="24"/>
          <w:szCs w:val="24"/>
          <w:lang w:eastAsia="es-ES"/>
        </w:rPr>
        <w:t>1 punto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Sexta (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%) en el domingo</w:t>
      </w:r>
      <w:r w:rsidR="0098387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‘Harry Potter y </w:t>
      </w:r>
      <w:r w:rsidR="00A067DB">
        <w:rPr>
          <w:rFonts w:ascii="Arial" w:eastAsia="Times New Roman" w:hAnsi="Arial" w:cs="Arial"/>
          <w:b/>
          <w:sz w:val="24"/>
          <w:szCs w:val="24"/>
          <w:lang w:eastAsia="es-ES"/>
        </w:rPr>
        <w:t>el cáliz de fuego</w:t>
      </w:r>
      <w:r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A067D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67D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% y 1.4</w:t>
      </w:r>
      <w:r w:rsidR="00A067DB">
        <w:rPr>
          <w:rFonts w:ascii="Arial" w:eastAsia="Times New Roman" w:hAnsi="Arial" w:cs="Arial"/>
          <w:b/>
          <w:sz w:val="24"/>
          <w:szCs w:val="24"/>
          <w:lang w:eastAsia="es-ES"/>
        </w:rPr>
        <w:t>97</w:t>
      </w:r>
      <w:r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98387D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9F05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película del contenedor Home Cinema con mayor audiencia del último año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, con 7,1 puntos</w:t>
      </w:r>
      <w:r w:rsidR="0098387D">
        <w:rPr>
          <w:rFonts w:ascii="Arial" w:eastAsia="Times New Roman" w:hAnsi="Arial" w:cs="Arial"/>
          <w:sz w:val="24"/>
          <w:szCs w:val="24"/>
          <w:lang w:eastAsia="es-ES"/>
        </w:rPr>
        <w:t xml:space="preserve"> de ventaja 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sobre La Sexta (4%)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7DB" w:rsidRPr="009A4389">
        <w:rPr>
          <w:rFonts w:ascii="Arial" w:eastAsia="Times New Roman" w:hAnsi="Arial" w:cs="Arial"/>
          <w:b/>
          <w:sz w:val="24"/>
          <w:szCs w:val="24"/>
          <w:lang w:eastAsia="es-ES"/>
        </w:rPr>
        <w:t>‘Volando voy’ (6,5% y 1.153.000)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 también se impuso a su inmediato competidor en su banda de emisión (</w:t>
      </w:r>
      <w:r w:rsidR="009A4389">
        <w:rPr>
          <w:rFonts w:ascii="Arial" w:eastAsia="Times New Roman" w:hAnsi="Arial" w:cs="Arial"/>
          <w:sz w:val="24"/>
          <w:szCs w:val="24"/>
          <w:lang w:eastAsia="es-ES"/>
        </w:rPr>
        <w:t xml:space="preserve">5,8%). Y </w:t>
      </w:r>
      <w:r w:rsidR="009A4389" w:rsidRPr="009A4389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 (6,7% y 782.000)</w:t>
      </w:r>
      <w:r w:rsidR="009A4389">
        <w:rPr>
          <w:rFonts w:ascii="Arial" w:eastAsia="Times New Roman" w:hAnsi="Arial" w:cs="Arial"/>
          <w:sz w:val="24"/>
          <w:szCs w:val="24"/>
          <w:lang w:eastAsia="es-ES"/>
        </w:rPr>
        <w:t xml:space="preserve"> duplicó la oferta de La Sexta en su franja (3%).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9F0552" w:rsidRDefault="009F0552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532F0" w:rsidRDefault="003326D1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Además, </w:t>
      </w:r>
      <w:r w:rsidR="009A4389">
        <w:rPr>
          <w:rFonts w:ascii="Arial" w:eastAsia="Times New Roman" w:hAnsi="Arial" w:cs="Arial"/>
          <w:b/>
          <w:sz w:val="24"/>
          <w:szCs w:val="24"/>
          <w:lang w:eastAsia="es-ES"/>
        </w:rPr>
        <w:t>FDF</w:t>
      </w:r>
      <w:r w:rsidR="007648FD" w:rsidRPr="003326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9A438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A438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648FD" w:rsidRPr="007648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televisión temática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sz w:val="24"/>
          <w:szCs w:val="24"/>
          <w:lang w:eastAsia="es-ES"/>
        </w:rPr>
        <w:t>del día</w:t>
      </w:r>
      <w:r w:rsidR="009A4389">
        <w:rPr>
          <w:rFonts w:ascii="Arial" w:eastAsia="Times New Roman" w:hAnsi="Arial" w:cs="Arial"/>
          <w:sz w:val="24"/>
          <w:szCs w:val="24"/>
          <w:lang w:eastAsia="es-ES"/>
        </w:rPr>
        <w:t xml:space="preserve"> con su segundo mejor dato del año y </w:t>
      </w:r>
      <w:r w:rsidR="009A4389" w:rsidRPr="009A4389">
        <w:rPr>
          <w:rFonts w:ascii="Arial" w:eastAsia="Times New Roman" w:hAnsi="Arial" w:cs="Arial"/>
          <w:b/>
          <w:sz w:val="24"/>
          <w:szCs w:val="24"/>
          <w:lang w:eastAsia="es-ES"/>
        </w:rPr>
        <w:t>‘Los siete magníficos’ (4,5% y 571.000)</w:t>
      </w:r>
      <w:r w:rsidR="0098387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A4389">
        <w:rPr>
          <w:rFonts w:ascii="Arial" w:eastAsia="Times New Roman" w:hAnsi="Arial" w:cs="Arial"/>
          <w:sz w:val="24"/>
          <w:szCs w:val="24"/>
          <w:lang w:eastAsia="es-ES"/>
        </w:rPr>
        <w:t xml:space="preserve"> la emisión de cine más vista en domingo en FDF de los últimos 12 meses.</w:t>
      </w:r>
    </w:p>
    <w:p w:rsidR="00280684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5B19" w:rsidRDefault="001B5B19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B5B19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30EE6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2296"/>
    <w:rsid w:val="001668B6"/>
    <w:rsid w:val="00173B80"/>
    <w:rsid w:val="00174A49"/>
    <w:rsid w:val="001819DA"/>
    <w:rsid w:val="00192EFB"/>
    <w:rsid w:val="001A588F"/>
    <w:rsid w:val="001B0B83"/>
    <w:rsid w:val="001B473C"/>
    <w:rsid w:val="001B5B19"/>
    <w:rsid w:val="001B5F07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0684"/>
    <w:rsid w:val="002812B7"/>
    <w:rsid w:val="00281EEE"/>
    <w:rsid w:val="00292AF6"/>
    <w:rsid w:val="002A0679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155EA"/>
    <w:rsid w:val="0032134F"/>
    <w:rsid w:val="00324271"/>
    <w:rsid w:val="003305E4"/>
    <w:rsid w:val="003326D1"/>
    <w:rsid w:val="0034324D"/>
    <w:rsid w:val="00362291"/>
    <w:rsid w:val="00367E30"/>
    <w:rsid w:val="0037593E"/>
    <w:rsid w:val="00383915"/>
    <w:rsid w:val="003A494E"/>
    <w:rsid w:val="003A56AC"/>
    <w:rsid w:val="003B15C6"/>
    <w:rsid w:val="003D064E"/>
    <w:rsid w:val="003E52EA"/>
    <w:rsid w:val="003E5489"/>
    <w:rsid w:val="003F0260"/>
    <w:rsid w:val="003F4505"/>
    <w:rsid w:val="003F731F"/>
    <w:rsid w:val="00405B62"/>
    <w:rsid w:val="00415A86"/>
    <w:rsid w:val="0041666E"/>
    <w:rsid w:val="00416E85"/>
    <w:rsid w:val="0044573A"/>
    <w:rsid w:val="0045264C"/>
    <w:rsid w:val="0045676F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54AD2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54926"/>
    <w:rsid w:val="00660839"/>
    <w:rsid w:val="00661207"/>
    <w:rsid w:val="00676BC1"/>
    <w:rsid w:val="006827C6"/>
    <w:rsid w:val="00691DCC"/>
    <w:rsid w:val="00697023"/>
    <w:rsid w:val="006A59C2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48FD"/>
    <w:rsid w:val="00766D09"/>
    <w:rsid w:val="007775E9"/>
    <w:rsid w:val="00786425"/>
    <w:rsid w:val="00792F1C"/>
    <w:rsid w:val="00793E4F"/>
    <w:rsid w:val="007A1687"/>
    <w:rsid w:val="007A6721"/>
    <w:rsid w:val="007B3266"/>
    <w:rsid w:val="007C4156"/>
    <w:rsid w:val="007D5D1E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316D"/>
    <w:rsid w:val="008C50FA"/>
    <w:rsid w:val="008E443F"/>
    <w:rsid w:val="008E4FE4"/>
    <w:rsid w:val="008E7468"/>
    <w:rsid w:val="008F146F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0247"/>
    <w:rsid w:val="009830DD"/>
    <w:rsid w:val="0098387D"/>
    <w:rsid w:val="009900E8"/>
    <w:rsid w:val="009965F2"/>
    <w:rsid w:val="009968CE"/>
    <w:rsid w:val="00997535"/>
    <w:rsid w:val="009A4389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7E59"/>
    <w:rsid w:val="00A00759"/>
    <w:rsid w:val="00A00A83"/>
    <w:rsid w:val="00A067DB"/>
    <w:rsid w:val="00A071F4"/>
    <w:rsid w:val="00A10982"/>
    <w:rsid w:val="00A2001F"/>
    <w:rsid w:val="00A24A17"/>
    <w:rsid w:val="00A251C6"/>
    <w:rsid w:val="00A3130C"/>
    <w:rsid w:val="00A40001"/>
    <w:rsid w:val="00A41C70"/>
    <w:rsid w:val="00A563D1"/>
    <w:rsid w:val="00A56B4D"/>
    <w:rsid w:val="00A57354"/>
    <w:rsid w:val="00A626CC"/>
    <w:rsid w:val="00A630D7"/>
    <w:rsid w:val="00A639C6"/>
    <w:rsid w:val="00A656BC"/>
    <w:rsid w:val="00A8071D"/>
    <w:rsid w:val="00A80EB9"/>
    <w:rsid w:val="00A80F23"/>
    <w:rsid w:val="00A82683"/>
    <w:rsid w:val="00A82718"/>
    <w:rsid w:val="00A84055"/>
    <w:rsid w:val="00A8420E"/>
    <w:rsid w:val="00A9476D"/>
    <w:rsid w:val="00AB0BC7"/>
    <w:rsid w:val="00AB3C7C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27E50"/>
    <w:rsid w:val="00B3655D"/>
    <w:rsid w:val="00B4159B"/>
    <w:rsid w:val="00B54213"/>
    <w:rsid w:val="00B60805"/>
    <w:rsid w:val="00B73E38"/>
    <w:rsid w:val="00B909ED"/>
    <w:rsid w:val="00B92AB9"/>
    <w:rsid w:val="00B94BE4"/>
    <w:rsid w:val="00BA3F6B"/>
    <w:rsid w:val="00BB0365"/>
    <w:rsid w:val="00BC17F5"/>
    <w:rsid w:val="00BC2644"/>
    <w:rsid w:val="00BC4734"/>
    <w:rsid w:val="00BE5E98"/>
    <w:rsid w:val="00C04E8F"/>
    <w:rsid w:val="00C10CC4"/>
    <w:rsid w:val="00C54009"/>
    <w:rsid w:val="00C54716"/>
    <w:rsid w:val="00C57887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0D08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33A57"/>
    <w:rsid w:val="00D439F6"/>
    <w:rsid w:val="00D44410"/>
    <w:rsid w:val="00D46924"/>
    <w:rsid w:val="00D6072F"/>
    <w:rsid w:val="00D65EC5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5860"/>
    <w:rsid w:val="00DF0718"/>
    <w:rsid w:val="00DF3FE6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3E0E"/>
    <w:rsid w:val="00EB6434"/>
    <w:rsid w:val="00EC2AC5"/>
    <w:rsid w:val="00EC47A3"/>
    <w:rsid w:val="00ED0D32"/>
    <w:rsid w:val="00ED26B6"/>
    <w:rsid w:val="00EE543A"/>
    <w:rsid w:val="00EE6BDC"/>
    <w:rsid w:val="00EF7EBE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257D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B280E"/>
    <w:rsid w:val="00FB7086"/>
    <w:rsid w:val="00FC2D25"/>
    <w:rsid w:val="00FC6FF9"/>
    <w:rsid w:val="00FD2458"/>
    <w:rsid w:val="00FD6358"/>
    <w:rsid w:val="00FE2961"/>
    <w:rsid w:val="00FF022E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6F61E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BBA1-5D19-4A13-A4BE-2C7FDEAD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17</cp:revision>
  <cp:lastPrinted>2019-12-02T09:06:00Z</cp:lastPrinted>
  <dcterms:created xsi:type="dcterms:W3CDTF">2019-12-02T08:27:00Z</dcterms:created>
  <dcterms:modified xsi:type="dcterms:W3CDTF">2019-12-02T09:26:00Z</dcterms:modified>
</cp:coreProperties>
</file>