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596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596B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9C4033" w:rsidRDefault="009C4033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033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 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EC596B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VIP: Límite 48 horas’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F63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anota </w:t>
      </w:r>
      <w:proofErr w:type="gramStart"/>
      <w:r w:rsidR="000F63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nuevo récord</w:t>
      </w:r>
      <w:proofErr w:type="gramEnd"/>
      <w:r w:rsidR="000F63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Telecinco </w:t>
      </w:r>
      <w:r w:rsidR="00A121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y </w:t>
      </w:r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empuja a </w:t>
      </w:r>
      <w:r w:rsidR="000F63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otro</w:t>
      </w:r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mínimo histórico de ‘La Voz </w:t>
      </w:r>
      <w:proofErr w:type="spellStart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Kids</w:t>
      </w:r>
      <w:proofErr w:type="spellEnd"/>
      <w:r w:rsidR="00EC59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:rsidR="00CC5D24" w:rsidRDefault="00CC5D24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EC596B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A12171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</w:t>
      </w:r>
      <w:r w:rsidR="00EC596B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460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21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sumó 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121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respecto a la semana pasada y 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</w:t>
      </w:r>
      <w:r w:rsidR="00EC5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F7A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5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hormiguero’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1,3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1.991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00).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La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EC5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C5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EC5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979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 2,</w:t>
      </w:r>
      <w:r w:rsidR="00EC5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más </w:t>
      </w:r>
      <w:r w:rsidR="007B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en 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última entrega </w:t>
      </w:r>
      <w:r w:rsidR="000E5682" w:rsidRPr="007B0948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0E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C5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duplicó</w:t>
      </w:r>
      <w:r w:rsidR="003E0BC9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0BC9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Kids</w:t>
      </w:r>
      <w:proofErr w:type="spellEnd"/>
      <w:r w:rsidR="001866E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F7AED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B57C7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E568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EC596B">
        <w:rPr>
          <w:rFonts w:ascii="Arial" w:eastAsia="Times New Roman" w:hAnsi="Arial" w:cs="Arial"/>
          <w:bCs/>
          <w:sz w:val="24"/>
          <w:szCs w:val="24"/>
          <w:lang w:eastAsia="es-ES"/>
        </w:rPr>
        <w:t>51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</w:p>
    <w:p w:rsidR="00B92376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B9237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 coronó el ranking de los espacios más vistos del día con ‘GH VIP: Límite 48 horas</w:t>
      </w:r>
      <w:r w:rsidR="00AC6870">
        <w:rPr>
          <w:rFonts w:ascii="Arial" w:eastAsia="Times New Roman" w:hAnsi="Arial" w:cs="Arial"/>
          <w:bCs/>
          <w:sz w:val="24"/>
          <w:szCs w:val="24"/>
          <w:lang w:eastAsia="es-ES"/>
        </w:rPr>
        <w:t>’ en Telecinco y Cuatro, e Informativos Telecinco 21:00 horas, de nuevo el referente informativo de la jornada</w:t>
      </w:r>
    </w:p>
    <w:p w:rsidR="009C4033" w:rsidRDefault="009C4033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F2FD5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A905E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905E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A905E3">
        <w:rPr>
          <w:rFonts w:ascii="Arial" w:eastAsia="Times New Roman" w:hAnsi="Arial" w:cs="Arial"/>
          <w:b/>
          <w:sz w:val="24"/>
          <w:szCs w:val="24"/>
          <w:lang w:eastAsia="es-ES"/>
        </w:rPr>
        <w:t>979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="00AC6870" w:rsidRPr="00AC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AC6870" w:rsidRPr="00AC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du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plic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en su franja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a Antena 3 (1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D027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653C39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anot</w:t>
      </w:r>
      <w:r w:rsidR="00BD413F">
        <w:rPr>
          <w:rFonts w:ascii="Arial" w:eastAsia="Times New Roman" w:hAnsi="Arial" w:cs="Arial"/>
          <w:sz w:val="24"/>
          <w:szCs w:val="24"/>
          <w:lang w:val="pt-BR" w:eastAsia="es-ES"/>
        </w:rPr>
        <w:t>ó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653C39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martes, a las 2</w:t>
      </w:r>
      <w:r w:rsidR="00B92376">
        <w:rPr>
          <w:rFonts w:ascii="Arial" w:eastAsia="Times New Roman" w:hAnsi="Arial" w:cs="Arial"/>
          <w:sz w:val="24"/>
          <w:szCs w:val="24"/>
          <w:lang w:val="pt-BR" w:eastAsia="es-ES"/>
        </w:rPr>
        <w:t>2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:</w:t>
      </w:r>
      <w:r w:rsidR="00B92376">
        <w:rPr>
          <w:rFonts w:ascii="Arial" w:eastAsia="Times New Roman" w:hAnsi="Arial" w:cs="Arial"/>
          <w:sz w:val="24"/>
          <w:szCs w:val="24"/>
          <w:lang w:val="pt-BR" w:eastAsia="es-ES"/>
        </w:rPr>
        <w:t>54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horas,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436182">
        <w:rPr>
          <w:rFonts w:ascii="Arial" w:eastAsia="Times New Roman" w:hAnsi="Arial" w:cs="Arial"/>
          <w:sz w:val="24"/>
          <w:szCs w:val="24"/>
          <w:lang w:val="pt-BR" w:eastAsia="es-ES"/>
        </w:rPr>
        <w:t>4.145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.000 espectadores (2</w:t>
      </w:r>
      <w:r w:rsidR="00436182">
        <w:rPr>
          <w:rFonts w:ascii="Arial" w:eastAsia="Times New Roman" w:hAnsi="Arial" w:cs="Arial"/>
          <w:sz w:val="24"/>
          <w:szCs w:val="24"/>
          <w:lang w:val="pt-BR" w:eastAsia="es-ES"/>
        </w:rPr>
        <w:t>4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="00436182">
        <w:rPr>
          <w:rFonts w:ascii="Arial" w:eastAsia="Times New Roman" w:hAnsi="Arial" w:cs="Arial"/>
          <w:sz w:val="24"/>
          <w:szCs w:val="24"/>
          <w:lang w:val="pt-BR" w:eastAsia="es-ES"/>
        </w:rPr>
        <w:t>8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%).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3618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436182">
        <w:rPr>
          <w:rFonts w:ascii="Arial" w:eastAsia="Times New Roman" w:hAnsi="Arial" w:cs="Arial"/>
          <w:b/>
          <w:sz w:val="24"/>
          <w:szCs w:val="24"/>
          <w:lang w:eastAsia="es-ES"/>
        </w:rPr>
        <w:t>90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Como resultado, </w:t>
      </w:r>
      <w:r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0975DB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6182" w:rsidRPr="00436182">
        <w:rPr>
          <w:rFonts w:ascii="Arial" w:eastAsia="Times New Roman" w:hAnsi="Arial" w:cs="Arial"/>
          <w:b/>
          <w:sz w:val="24"/>
          <w:szCs w:val="24"/>
          <w:lang w:eastAsia="es-ES"/>
        </w:rPr>
        <w:t>(9,1%)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="00436182" w:rsidRPr="002F0FFB">
        <w:rPr>
          <w:rFonts w:ascii="Arial" w:eastAsia="Times New Roman" w:hAnsi="Arial" w:cs="Arial"/>
          <w:b/>
          <w:sz w:val="24"/>
          <w:szCs w:val="24"/>
          <w:lang w:eastAsia="es-ES"/>
        </w:rPr>
        <w:t>tercer mejor día de la temporada</w:t>
      </w:r>
      <w:r w:rsidR="0043618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43618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3618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43618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9237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436182">
        <w:rPr>
          <w:rFonts w:ascii="Arial" w:eastAsia="Times New Roman" w:hAnsi="Arial" w:cs="Arial"/>
          <w:b/>
          <w:sz w:val="24"/>
          <w:szCs w:val="24"/>
          <w:lang w:eastAsia="es-ES"/>
        </w:rPr>
        <w:t>460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F0FFB" w:rsidRPr="002F0F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de temporada en </w:t>
      </w:r>
      <w:r w:rsidR="002F0FFB" w:rsidRPr="002F0FF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2F0FFB" w:rsidRPr="002F0F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A6962">
        <w:rPr>
          <w:rFonts w:ascii="Arial" w:eastAsia="Times New Roman" w:hAnsi="Arial" w:cs="Arial"/>
          <w:b/>
          <w:sz w:val="24"/>
          <w:szCs w:val="24"/>
          <w:lang w:eastAsia="es-ES"/>
        </w:rPr>
        <w:t>número espectadores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1,3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1.991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186" w:rsidRDefault="001D1186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(1</w:t>
      </w:r>
      <w:r w:rsidR="00FD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D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</w:t>
      </w:r>
      <w:r w:rsidR="00FD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761</w:t>
      </w:r>
      <w:r w:rsidRPr="001D11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oferta informativa líder del martes con </w:t>
      </w:r>
      <w:r w:rsidR="00A312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A312AE" w:rsidRPr="002F0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 la temporada</w:t>
      </w:r>
      <w:r w:rsidR="00A312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Aventajó en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,6 puntos </w:t>
      </w:r>
      <w:r w:rsidR="00A312AE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Noticias 2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1.994.000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D481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E707B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3A45C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C6870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88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A45CD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591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877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 (1</w:t>
      </w:r>
      <w:r w:rsidR="00A312AE">
        <w:rPr>
          <w:rFonts w:ascii="Arial" w:eastAsia="Times New Roman" w:hAnsi="Arial" w:cs="Arial"/>
          <w:b/>
          <w:sz w:val="24"/>
          <w:szCs w:val="24"/>
          <w:lang w:eastAsia="es-ES"/>
        </w:rPr>
        <w:t>5,1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>
        <w:rPr>
          <w:rFonts w:ascii="Arial" w:eastAsia="Times New Roman" w:hAnsi="Arial" w:cs="Arial"/>
          <w:b/>
          <w:sz w:val="24"/>
          <w:szCs w:val="24"/>
          <w:lang w:eastAsia="es-ES"/>
        </w:rPr>
        <w:t>2.0</w:t>
      </w:r>
      <w:r w:rsidR="00A312AE">
        <w:rPr>
          <w:rFonts w:ascii="Arial" w:eastAsia="Times New Roman" w:hAnsi="Arial" w:cs="Arial"/>
          <w:b/>
          <w:sz w:val="24"/>
          <w:szCs w:val="24"/>
          <w:lang w:eastAsia="es-ES"/>
        </w:rPr>
        <w:t>53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0FF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9,5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A448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512672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312AE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la televisión 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líder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1267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</w:t>
      </w:r>
      <w:r w:rsidR="0051267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de ventaja sobre Antena 3 (1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2A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77B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F0FFB" w:rsidRDefault="002F0FF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12AE" w:rsidRDefault="00A312AE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2F0FFB">
        <w:rPr>
          <w:rFonts w:ascii="Arial" w:eastAsia="Times New Roman" w:hAnsi="Arial" w:cs="Arial"/>
          <w:b/>
          <w:sz w:val="24"/>
          <w:szCs w:val="24"/>
          <w:lang w:eastAsia="es-ES"/>
        </w:rPr>
        <w:t>Cuatro, ‘Todo es mentira’ (6,3% y 720.000)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igualó su mejor marca histórica en cuota de pantalla y su tercer programa más visto. </w:t>
      </w:r>
      <w:bookmarkStart w:id="0" w:name="_GoBack"/>
      <w:bookmarkEnd w:id="0"/>
    </w:p>
    <w:sectPr w:rsidR="00A312AE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87BC5"/>
    <w:rsid w:val="00092DB0"/>
    <w:rsid w:val="00093A49"/>
    <w:rsid w:val="000975DB"/>
    <w:rsid w:val="000A1CD7"/>
    <w:rsid w:val="000B1998"/>
    <w:rsid w:val="000C1E67"/>
    <w:rsid w:val="000D13D9"/>
    <w:rsid w:val="000D2CB5"/>
    <w:rsid w:val="000D5D85"/>
    <w:rsid w:val="000E5682"/>
    <w:rsid w:val="000E7B34"/>
    <w:rsid w:val="000F6359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186"/>
    <w:rsid w:val="001D1821"/>
    <w:rsid w:val="001F640A"/>
    <w:rsid w:val="001F7929"/>
    <w:rsid w:val="00210DF9"/>
    <w:rsid w:val="002347A6"/>
    <w:rsid w:val="00246D78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45CD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36182"/>
    <w:rsid w:val="00445109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68C6"/>
    <w:rsid w:val="004B70D7"/>
    <w:rsid w:val="004C1043"/>
    <w:rsid w:val="004C6489"/>
    <w:rsid w:val="004F66FC"/>
    <w:rsid w:val="0050536F"/>
    <w:rsid w:val="005115DD"/>
    <w:rsid w:val="00511A0F"/>
    <w:rsid w:val="00512672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A4484"/>
    <w:rsid w:val="005B372D"/>
    <w:rsid w:val="005D0271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E707B"/>
    <w:rsid w:val="006F4E9B"/>
    <w:rsid w:val="006F72D0"/>
    <w:rsid w:val="006F7808"/>
    <w:rsid w:val="0070380F"/>
    <w:rsid w:val="00721D0E"/>
    <w:rsid w:val="0074516F"/>
    <w:rsid w:val="007464A0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C0A61"/>
    <w:rsid w:val="009C4033"/>
    <w:rsid w:val="009D1FBC"/>
    <w:rsid w:val="009D379E"/>
    <w:rsid w:val="009E0092"/>
    <w:rsid w:val="009E1861"/>
    <w:rsid w:val="009E2E2E"/>
    <w:rsid w:val="009E4402"/>
    <w:rsid w:val="009E6C4F"/>
    <w:rsid w:val="009F1F72"/>
    <w:rsid w:val="00A12171"/>
    <w:rsid w:val="00A23006"/>
    <w:rsid w:val="00A312AE"/>
    <w:rsid w:val="00A340B7"/>
    <w:rsid w:val="00A423BC"/>
    <w:rsid w:val="00A5381C"/>
    <w:rsid w:val="00A611FF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2376"/>
    <w:rsid w:val="00B95DF9"/>
    <w:rsid w:val="00BA65AD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9360A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A6962"/>
    <w:rsid w:val="00EB1D5B"/>
    <w:rsid w:val="00EB31D3"/>
    <w:rsid w:val="00EC54CA"/>
    <w:rsid w:val="00EC596B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F2B26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1CD2-2BD4-4BAF-B7A0-1D7A5826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2019-11-06T08:58:00Z</cp:lastPrinted>
  <dcterms:created xsi:type="dcterms:W3CDTF">2019-11-06T08:26:00Z</dcterms:created>
  <dcterms:modified xsi:type="dcterms:W3CDTF">2019-11-06T09:10:00Z</dcterms:modified>
</cp:coreProperties>
</file>