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D56C5B">
      <w:pPr>
        <w:ind w:right="-568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260" w:rsidRDefault="00B23904" w:rsidP="00D56C5B">
      <w:pPr>
        <w:spacing w:after="0" w:line="240" w:lineRule="auto"/>
        <w:ind w:left="-284" w:right="-710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C7D11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C1D2C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7214F4" w:rsidRDefault="007214F4" w:rsidP="00D56C5B">
      <w:pPr>
        <w:spacing w:after="0" w:line="240" w:lineRule="auto"/>
        <w:ind w:left="-284" w:right="-710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7260" w:rsidRDefault="00157875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C7D1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C1D2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7260" w:rsidRDefault="00077293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6504AB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Gran Hermano VIP’</w:t>
      </w:r>
      <w:r w:rsidR="000C7D11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crece 2 puntos y multiplica por 5 el resultado de </w:t>
      </w:r>
      <w:r w:rsidR="008C7260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Antena 3</w:t>
      </w:r>
      <w:r w:rsidR="000C7D11" w:rsidRPr="00D56C5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su franja</w:t>
      </w:r>
    </w:p>
    <w:p w:rsidR="003C2B7D" w:rsidRDefault="003C2B7D" w:rsidP="003C2B7D">
      <w:pPr>
        <w:spacing w:after="0" w:line="240" w:lineRule="auto"/>
        <w:ind w:left="-284" w:right="-709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A062D" w:rsidRDefault="008C7260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on un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,3</w:t>
      </w:r>
      <w:r w:rsidR="008522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375BB0" w:rsidRPr="00375BB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0C7D11">
        <w:rPr>
          <w:rFonts w:ascii="Arial" w:eastAsia="Times New Roman" w:hAnsi="Arial" w:cs="Arial"/>
          <w:b/>
          <w:sz w:val="24"/>
          <w:szCs w:val="24"/>
          <w:lang w:eastAsia="es-ES"/>
        </w:rPr>
        <w:t>3.224.</w:t>
      </w:r>
      <w:r w:rsidR="006E0890" w:rsidRPr="0020300B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 w:rsidR="00427DA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4C67" w:rsidRPr="00CC4C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375BB0" w:rsidRPr="00375BB0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proofErr w:type="gramEnd"/>
      <w:r w:rsidR="00375BB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 w:rsidR="000C7D11">
        <w:rPr>
          <w:rFonts w:ascii="Arial" w:eastAsia="Times New Roman" w:hAnsi="Arial" w:cs="Arial"/>
          <w:sz w:val="24"/>
          <w:szCs w:val="24"/>
          <w:lang w:eastAsia="es-ES"/>
        </w:rPr>
        <w:t xml:space="preserve">anotó su segundo mejor dato de la temporada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en más de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804A3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BC17D8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6,7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la serie ‘New </w:t>
      </w:r>
      <w:proofErr w:type="spellStart"/>
      <w:r w:rsidR="00165B77">
        <w:rPr>
          <w:rFonts w:ascii="Arial" w:eastAsia="Times New Roman" w:hAnsi="Arial" w:cs="Arial"/>
          <w:sz w:val="24"/>
          <w:szCs w:val="24"/>
          <w:lang w:eastAsia="es-ES"/>
        </w:rPr>
        <w:t>Amsterdam</w:t>
      </w:r>
      <w:proofErr w:type="spellEnd"/>
      <w:r w:rsidR="00165B77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82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64E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66D6F" w:rsidRDefault="00166D6F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10D56" w:rsidRDefault="00B10D56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coronó el ranking de los espacios más vistos del día con ‘GH VIP: Express’, ‘GH VIP’, Informativos Telecinco 21 h y ‘Sálvame Banana’</w:t>
      </w:r>
    </w:p>
    <w:p w:rsidR="003C2B7D" w:rsidRPr="00B10D56" w:rsidRDefault="003C2B7D" w:rsidP="003C2B7D">
      <w:pPr>
        <w:spacing w:after="0" w:line="240" w:lineRule="auto"/>
        <w:ind w:left="-284" w:right="-71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E251DC" w:rsidRDefault="0067043D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0857">
        <w:rPr>
          <w:rFonts w:ascii="Arial" w:eastAsia="Times New Roman" w:hAnsi="Arial" w:cs="Arial"/>
          <w:b/>
          <w:sz w:val="24"/>
          <w:szCs w:val="24"/>
          <w:lang w:eastAsia="es-ES"/>
        </w:rPr>
        <w:t>‘Gran Hermano VIP’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BA201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251DC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361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BA2010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sumar nuevos seguidores con 2 puntos y 355.000 seguidores más que la semana pasada. Fue líder de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262FEB">
        <w:rPr>
          <w:rFonts w:ascii="Arial" w:eastAsia="Times New Roman" w:hAnsi="Arial" w:cs="Arial"/>
          <w:sz w:val="24"/>
          <w:szCs w:val="24"/>
          <w:lang w:eastAsia="es-ES"/>
        </w:rPr>
        <w:t xml:space="preserve">al resto de opciones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televisivas 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que anotaron datos </w:t>
      </w:r>
      <w:r w:rsidR="00166D6F">
        <w:rPr>
          <w:rFonts w:ascii="Arial" w:eastAsia="Times New Roman" w:hAnsi="Arial" w:cs="Arial"/>
          <w:sz w:val="24"/>
          <w:szCs w:val="24"/>
          <w:lang w:eastAsia="es-ES"/>
        </w:rPr>
        <w:t>de un solo dígito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>más de 2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361B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5B77">
        <w:rPr>
          <w:rFonts w:ascii="Arial" w:eastAsia="Times New Roman" w:hAnsi="Arial" w:cs="Arial"/>
          <w:sz w:val="24"/>
          <w:szCs w:val="24"/>
          <w:lang w:eastAsia="es-ES"/>
        </w:rPr>
        <w:t xml:space="preserve">puntos de ventaja sobre la oferta de 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Antena 3 en su franja (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27DA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51D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852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C563A">
        <w:rPr>
          <w:rFonts w:ascii="Arial" w:eastAsia="Times New Roman" w:hAnsi="Arial" w:cs="Arial"/>
          <w:sz w:val="24"/>
          <w:szCs w:val="24"/>
          <w:lang w:eastAsia="es-ES"/>
        </w:rPr>
        <w:t>)</w:t>
      </w:r>
      <w:bookmarkStart w:id="0" w:name="_GoBack"/>
      <w:bookmarkEnd w:id="0"/>
    </w:p>
    <w:p w:rsidR="00B10D56" w:rsidRDefault="00954AE2" w:rsidP="003C2B7D">
      <w:pPr>
        <w:spacing w:after="0" w:line="240" w:lineRule="auto"/>
        <w:ind w:left="-284" w:right="-568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  <w:r w:rsidRPr="004D487B"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1312" behindDoc="1" locked="0" layoutInCell="1" allowOverlap="1" wp14:anchorId="276377C6">
            <wp:simplePos x="0" y="0"/>
            <wp:positionH relativeFrom="column">
              <wp:posOffset>-142875</wp:posOffset>
            </wp:positionH>
            <wp:positionV relativeFrom="paragraph">
              <wp:posOffset>31750</wp:posOffset>
            </wp:positionV>
            <wp:extent cx="4383405" cy="1996440"/>
            <wp:effectExtent l="0" t="0" r="0" b="0"/>
            <wp:wrapTight wrapText="bothSides">
              <wp:wrapPolygon edited="0">
                <wp:start x="375" y="1855"/>
                <wp:lineTo x="94" y="2473"/>
                <wp:lineTo x="0" y="12160"/>
                <wp:lineTo x="188" y="18344"/>
                <wp:lineTo x="1220" y="18756"/>
                <wp:lineTo x="5069" y="19374"/>
                <wp:lineTo x="5069" y="20405"/>
                <wp:lineTo x="18117" y="20405"/>
                <wp:lineTo x="18305" y="19580"/>
                <wp:lineTo x="19619" y="18756"/>
                <wp:lineTo x="21309" y="18137"/>
                <wp:lineTo x="21215" y="3504"/>
                <wp:lineTo x="19901" y="2885"/>
                <wp:lineTo x="13987" y="1855"/>
                <wp:lineTo x="375" y="185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D56" w:rsidRPr="004D487B">
        <w:rPr>
          <w:b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4129405</wp:posOffset>
            </wp:positionH>
            <wp:positionV relativeFrom="paragraph">
              <wp:posOffset>180975</wp:posOffset>
            </wp:positionV>
            <wp:extent cx="1638300" cy="3434080"/>
            <wp:effectExtent l="0" t="0" r="0" b="0"/>
            <wp:wrapTight wrapText="bothSides">
              <wp:wrapPolygon edited="0">
                <wp:start x="0" y="120"/>
                <wp:lineTo x="0" y="21448"/>
                <wp:lineTo x="16326" y="21448"/>
                <wp:lineTo x="19591" y="21328"/>
                <wp:lineTo x="19591" y="19771"/>
                <wp:lineTo x="21349" y="19172"/>
                <wp:lineTo x="21349" y="17854"/>
                <wp:lineTo x="20093" y="17614"/>
                <wp:lineTo x="20093" y="15936"/>
                <wp:lineTo x="21098" y="15577"/>
                <wp:lineTo x="21349" y="14858"/>
                <wp:lineTo x="19591" y="13660"/>
                <wp:lineTo x="19591" y="12342"/>
                <wp:lineTo x="19088" y="11862"/>
                <wp:lineTo x="21349" y="11143"/>
                <wp:lineTo x="21349" y="10065"/>
                <wp:lineTo x="19340" y="9945"/>
                <wp:lineTo x="19591" y="8028"/>
                <wp:lineTo x="21349" y="7429"/>
                <wp:lineTo x="21349" y="6470"/>
                <wp:lineTo x="19842" y="6111"/>
                <wp:lineTo x="19842" y="4194"/>
                <wp:lineTo x="21349" y="2756"/>
                <wp:lineTo x="20344" y="2277"/>
                <wp:lineTo x="19842" y="120"/>
                <wp:lineTo x="0" y="12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87B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7F0B89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B10D56" w:rsidRPr="004D487B">
        <w:rPr>
          <w:rFonts w:ascii="Arial" w:eastAsia="Times New Roman" w:hAnsi="Arial" w:cs="Arial"/>
          <w:b/>
          <w:sz w:val="16"/>
          <w:szCs w:val="16"/>
          <w:lang w:eastAsia="es-ES"/>
        </w:rPr>
        <w:t>Franja ‘GH VIP</w:t>
      </w:r>
      <w:r w:rsidR="00B10D5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487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10D56" w:rsidRPr="004D487B">
        <w:rPr>
          <w:rFonts w:ascii="Arial" w:eastAsia="Times New Roman" w:hAnsi="Arial" w:cs="Arial"/>
          <w:b/>
          <w:sz w:val="16"/>
          <w:szCs w:val="16"/>
          <w:lang w:eastAsia="es-ES"/>
        </w:rPr>
        <w:t>22:59-01:49 h)</w:t>
      </w:r>
    </w:p>
    <w:p w:rsidR="00BF7896" w:rsidRDefault="00165B77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14F4"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</w:t>
      </w:r>
      <w:r w:rsidR="009E0EDE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      </w:t>
      </w:r>
      <w:r w:rsidR="00B10D56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ab/>
      </w:r>
    </w:p>
    <w:p w:rsidR="00490DF6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‘Gran Hermano VIP’ registró sus mayores seguidores entre los jóvenes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los mercados regionales de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Asturias (42,2%), 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Canarias (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41,1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7214F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Murcia (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por encima del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de </w:t>
      </w:r>
      <w:r w:rsidRPr="006E2C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6E2CE9" w:rsidRDefault="006E2CE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5655F1" w:rsidRDefault="009254A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 espacio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pre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v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io a la gala </w:t>
      </w:r>
      <w:r w:rsidR="00B10D56" w:rsidRP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‘GH VIP: Express’ (20,2% y 3.522.000) </w:t>
      </w:r>
      <w:r w:rsidR="00B10D5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fue lo más visto del día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su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segundo mejor resultado de la temporada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4D487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casi 8 puntos de ventaja sobre Antena 3 (12,3%).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Durante su emisión se registró el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minuto de oro del jueves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 las 22:48 horas, con </w:t>
      </w:r>
      <w:r w:rsidR="009D3508" w:rsidRP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4.350.000 espectadores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(25,1%). En cuanto al espacio p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osterior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‘Gran Hermano VIP: la casa en directo’ (</w:t>
      </w:r>
      <w:r w:rsidR="007D3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C234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4D487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7D31F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</w:t>
      </w:r>
      <w:r w:rsidR="009D35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33</w:t>
      </w:r>
      <w:r w:rsidR="005655F1" w:rsidRPr="005655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5655F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alzó imbatible frente al resto de ofertas en su banda de emisión, 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7D31F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C2344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bre Antena 3 (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D350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39324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</w:t>
      </w:r>
      <w:r w:rsidR="00EA062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C51F18" w:rsidRDefault="00C51F18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 un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jornada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marcada por </w:t>
      </w:r>
      <w:r w:rsidR="00166D6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gran trascendencia </w:t>
      </w:r>
      <w:r w:rsidR="00166D6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histórica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Informativos Telecinco 21 h (15,7% y </w:t>
      </w:r>
      <w:r w:rsidR="00A17220" w:rsidRPr="00A1722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2.457.000)</w:t>
      </w:r>
      <w:r w:rsidR="00A1722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fue la oferta informativa líder del día con 2,2 puntos de ventaja sobre Antena 3 Noticias 2 (13,5% y 2.069.000).</w:t>
      </w:r>
    </w:p>
    <w:p w:rsidR="00C2344E" w:rsidRDefault="00C2344E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76FF2" w:rsidRPr="00976FF2" w:rsidRDefault="00375BB0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Asimismo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Telecinco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fue la opción favorita para los espectadores en </w:t>
      </w:r>
      <w:proofErr w:type="spellStart"/>
      <w:r w:rsidR="00976FF2" w:rsidRPr="00976FF2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7D31F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D3508">
        <w:rPr>
          <w:rFonts w:ascii="Arial" w:eastAsia="Times New Roman" w:hAnsi="Arial" w:cs="Arial"/>
          <w:sz w:val="24"/>
          <w:szCs w:val="24"/>
          <w:lang w:eastAsia="es-ES"/>
        </w:rPr>
        <w:t>8,7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 (1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3,7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33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 (</w:t>
      </w:r>
      <w:r w:rsidR="007D31FD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811</w:t>
      </w:r>
      <w:r w:rsidR="00976FF2" w:rsidRPr="00976FF2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‘Sálvame Banana’ (1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D3508">
        <w:rPr>
          <w:rFonts w:ascii="Arial" w:eastAsia="Times New Roman" w:hAnsi="Arial" w:cs="Arial"/>
          <w:b/>
          <w:sz w:val="24"/>
          <w:szCs w:val="24"/>
          <w:lang w:eastAsia="es-ES"/>
        </w:rPr>
        <w:t>2.075</w:t>
      </w:r>
      <w:r w:rsidR="009736C5" w:rsidRPr="009736C5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166D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6D6F" w:rsidRPr="00166D6F">
        <w:rPr>
          <w:rFonts w:ascii="Arial" w:eastAsia="Times New Roman" w:hAnsi="Arial" w:cs="Arial"/>
          <w:sz w:val="24"/>
          <w:szCs w:val="24"/>
          <w:lang w:eastAsia="es-ES"/>
        </w:rPr>
        <w:t>dueños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de sus respectivas bandas sobre Antena 3 (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, 1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1E18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736C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El concurso </w:t>
      </w:r>
      <w:r w:rsidR="00C51F18" w:rsidRPr="00C51F18">
        <w:rPr>
          <w:rFonts w:ascii="Arial" w:eastAsia="Times New Roman" w:hAnsi="Arial" w:cs="Arial"/>
          <w:b/>
          <w:sz w:val="24"/>
          <w:szCs w:val="24"/>
          <w:lang w:eastAsia="es-ES"/>
        </w:rPr>
        <w:t>‘El Tirón’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1F18" w:rsidRPr="007E4132">
        <w:rPr>
          <w:rFonts w:ascii="Arial" w:eastAsia="Times New Roman" w:hAnsi="Arial" w:cs="Arial"/>
          <w:b/>
          <w:sz w:val="24"/>
          <w:szCs w:val="24"/>
          <w:lang w:eastAsia="es-ES"/>
        </w:rPr>
        <w:t>(16,5% y 2.337.000)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anotó su </w:t>
      </w:r>
      <w:r w:rsidR="00C51F18" w:rsidRPr="007E4132">
        <w:rPr>
          <w:rFonts w:ascii="Arial" w:eastAsia="Times New Roman" w:hAnsi="Arial" w:cs="Arial"/>
          <w:b/>
          <w:sz w:val="24"/>
          <w:szCs w:val="24"/>
          <w:lang w:eastAsia="es-ES"/>
        </w:rPr>
        <w:t>segundo mejor resultado</w:t>
      </w:r>
      <w:r w:rsidR="00C51F18">
        <w:rPr>
          <w:rFonts w:ascii="Arial" w:eastAsia="Times New Roman" w:hAnsi="Arial" w:cs="Arial"/>
          <w:sz w:val="24"/>
          <w:szCs w:val="24"/>
          <w:lang w:eastAsia="es-ES"/>
        </w:rPr>
        <w:t xml:space="preserve"> desde su estreno.</w:t>
      </w:r>
      <w:r w:rsidR="00976FF2" w:rsidRPr="00976FF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DC7879" w:rsidRDefault="00DC7879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70E3B" w:rsidRDefault="008A366A" w:rsidP="003C2B7D">
      <w:pPr>
        <w:spacing w:after="0" w:line="240" w:lineRule="auto"/>
        <w:ind w:left="-284"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6875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ayer la televisión más vista del día con un </w:t>
      </w:r>
      <w:r w:rsidR="002D7F81"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C2344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1F18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F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504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5047E" w:rsidRPr="0035047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F6B66" w:rsidRPr="00EF6B6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C3DA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91C85">
        <w:rPr>
          <w:rFonts w:ascii="Arial" w:eastAsia="Times New Roman" w:hAnsi="Arial" w:cs="Arial"/>
          <w:sz w:val="24"/>
          <w:szCs w:val="24"/>
          <w:lang w:eastAsia="es-ES"/>
        </w:rPr>
        <w:t>obre</w:t>
      </w:r>
      <w:r w:rsidR="00D52C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1C238A">
        <w:rPr>
          <w:rFonts w:ascii="Arial" w:eastAsia="Times New Roman" w:hAnsi="Arial" w:cs="Arial"/>
          <w:sz w:val="24"/>
          <w:szCs w:val="24"/>
          <w:lang w:eastAsia="es-ES"/>
        </w:rPr>
        <w:t xml:space="preserve">alzó con la victoria de las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EF6B6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E4D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8,7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), tarde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8,8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5047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9%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0,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 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9,8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3099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9,3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 xml:space="preserve"> vs.</w:t>
      </w:r>
      <w:r w:rsidR="00C2344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17220">
        <w:rPr>
          <w:rFonts w:ascii="Arial" w:eastAsia="Times New Roman" w:hAnsi="Arial" w:cs="Arial"/>
          <w:sz w:val="24"/>
          <w:szCs w:val="24"/>
          <w:lang w:eastAsia="es-ES"/>
        </w:rPr>
        <w:t>0,6</w:t>
      </w:r>
      <w:r w:rsidR="0061686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sectPr w:rsidR="00370E3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55E8"/>
    <w:rsid w:val="00046C91"/>
    <w:rsid w:val="000479FA"/>
    <w:rsid w:val="00064EDB"/>
    <w:rsid w:val="00070F00"/>
    <w:rsid w:val="00077293"/>
    <w:rsid w:val="000827A5"/>
    <w:rsid w:val="00087911"/>
    <w:rsid w:val="00091DBD"/>
    <w:rsid w:val="0009797F"/>
    <w:rsid w:val="000A16A5"/>
    <w:rsid w:val="000C0234"/>
    <w:rsid w:val="000C4E62"/>
    <w:rsid w:val="000C5543"/>
    <w:rsid w:val="000C7D11"/>
    <w:rsid w:val="000D085F"/>
    <w:rsid w:val="000D3A77"/>
    <w:rsid w:val="000D5681"/>
    <w:rsid w:val="000D5D85"/>
    <w:rsid w:val="000E6AE2"/>
    <w:rsid w:val="000E7B76"/>
    <w:rsid w:val="000F0F74"/>
    <w:rsid w:val="001026A9"/>
    <w:rsid w:val="00107EA3"/>
    <w:rsid w:val="001143BE"/>
    <w:rsid w:val="0011537F"/>
    <w:rsid w:val="00125164"/>
    <w:rsid w:val="0013144A"/>
    <w:rsid w:val="001357A2"/>
    <w:rsid w:val="00140F31"/>
    <w:rsid w:val="0014163C"/>
    <w:rsid w:val="00142DF5"/>
    <w:rsid w:val="001455E6"/>
    <w:rsid w:val="00157875"/>
    <w:rsid w:val="0016295E"/>
    <w:rsid w:val="00165B77"/>
    <w:rsid w:val="00166D6F"/>
    <w:rsid w:val="00174A49"/>
    <w:rsid w:val="00177713"/>
    <w:rsid w:val="001A19CF"/>
    <w:rsid w:val="001A3724"/>
    <w:rsid w:val="001A387B"/>
    <w:rsid w:val="001A583E"/>
    <w:rsid w:val="001C238A"/>
    <w:rsid w:val="001C3BD2"/>
    <w:rsid w:val="001C72E7"/>
    <w:rsid w:val="001D7F46"/>
    <w:rsid w:val="001E18C9"/>
    <w:rsid w:val="001E509D"/>
    <w:rsid w:val="001F0857"/>
    <w:rsid w:val="0020300B"/>
    <w:rsid w:val="00234F5D"/>
    <w:rsid w:val="002421CD"/>
    <w:rsid w:val="002426E6"/>
    <w:rsid w:val="00242B3B"/>
    <w:rsid w:val="00244570"/>
    <w:rsid w:val="002516E8"/>
    <w:rsid w:val="00251EBB"/>
    <w:rsid w:val="00252CF8"/>
    <w:rsid w:val="00261973"/>
    <w:rsid w:val="00262FEB"/>
    <w:rsid w:val="00271711"/>
    <w:rsid w:val="0029093F"/>
    <w:rsid w:val="002948B6"/>
    <w:rsid w:val="002A3149"/>
    <w:rsid w:val="002A5939"/>
    <w:rsid w:val="002B5A29"/>
    <w:rsid w:val="002B668A"/>
    <w:rsid w:val="002C4DFC"/>
    <w:rsid w:val="002C5497"/>
    <w:rsid w:val="002C6DAD"/>
    <w:rsid w:val="002C7CF8"/>
    <w:rsid w:val="002D55A8"/>
    <w:rsid w:val="002D7F81"/>
    <w:rsid w:val="002E0E9E"/>
    <w:rsid w:val="002E4727"/>
    <w:rsid w:val="002F77BA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5047E"/>
    <w:rsid w:val="00352ACB"/>
    <w:rsid w:val="00361BC5"/>
    <w:rsid w:val="00362494"/>
    <w:rsid w:val="00370E3B"/>
    <w:rsid w:val="00371143"/>
    <w:rsid w:val="00375BB0"/>
    <w:rsid w:val="00382AFE"/>
    <w:rsid w:val="003931E0"/>
    <w:rsid w:val="00393240"/>
    <w:rsid w:val="003A1AE7"/>
    <w:rsid w:val="003A447F"/>
    <w:rsid w:val="003B7F6A"/>
    <w:rsid w:val="003C2B7D"/>
    <w:rsid w:val="003C50DD"/>
    <w:rsid w:val="003C63C9"/>
    <w:rsid w:val="003D01D5"/>
    <w:rsid w:val="003D53DE"/>
    <w:rsid w:val="003D657F"/>
    <w:rsid w:val="003D682F"/>
    <w:rsid w:val="003D684E"/>
    <w:rsid w:val="003E10D1"/>
    <w:rsid w:val="003E5E96"/>
    <w:rsid w:val="00400E98"/>
    <w:rsid w:val="004035E3"/>
    <w:rsid w:val="00404C9F"/>
    <w:rsid w:val="00406A23"/>
    <w:rsid w:val="00427DAE"/>
    <w:rsid w:val="00431306"/>
    <w:rsid w:val="00431BC0"/>
    <w:rsid w:val="00433440"/>
    <w:rsid w:val="004440D7"/>
    <w:rsid w:val="00457FA4"/>
    <w:rsid w:val="00463A06"/>
    <w:rsid w:val="004666F5"/>
    <w:rsid w:val="00466C5B"/>
    <w:rsid w:val="00490DF6"/>
    <w:rsid w:val="00493AB7"/>
    <w:rsid w:val="00495F23"/>
    <w:rsid w:val="00496277"/>
    <w:rsid w:val="004A7E43"/>
    <w:rsid w:val="004C5190"/>
    <w:rsid w:val="004D0E76"/>
    <w:rsid w:val="004D487B"/>
    <w:rsid w:val="004E1455"/>
    <w:rsid w:val="004E215F"/>
    <w:rsid w:val="004E2AA6"/>
    <w:rsid w:val="004E6916"/>
    <w:rsid w:val="004F0A52"/>
    <w:rsid w:val="004F6B01"/>
    <w:rsid w:val="005011AA"/>
    <w:rsid w:val="0050208E"/>
    <w:rsid w:val="005074C1"/>
    <w:rsid w:val="00511A0F"/>
    <w:rsid w:val="00515ECD"/>
    <w:rsid w:val="00523B82"/>
    <w:rsid w:val="005614A2"/>
    <w:rsid w:val="00563B61"/>
    <w:rsid w:val="005655F1"/>
    <w:rsid w:val="00581771"/>
    <w:rsid w:val="005923ED"/>
    <w:rsid w:val="00597FED"/>
    <w:rsid w:val="005A08D5"/>
    <w:rsid w:val="005A2A9C"/>
    <w:rsid w:val="005A6B9B"/>
    <w:rsid w:val="005C7DE3"/>
    <w:rsid w:val="005D6044"/>
    <w:rsid w:val="00612F4A"/>
    <w:rsid w:val="0061307D"/>
    <w:rsid w:val="0061380F"/>
    <w:rsid w:val="00616864"/>
    <w:rsid w:val="00622499"/>
    <w:rsid w:val="006277FB"/>
    <w:rsid w:val="00630151"/>
    <w:rsid w:val="0063331D"/>
    <w:rsid w:val="006401BD"/>
    <w:rsid w:val="006502A2"/>
    <w:rsid w:val="006504AB"/>
    <w:rsid w:val="006569DD"/>
    <w:rsid w:val="00661207"/>
    <w:rsid w:val="0066131B"/>
    <w:rsid w:val="00662B33"/>
    <w:rsid w:val="0067043D"/>
    <w:rsid w:val="006808AA"/>
    <w:rsid w:val="00685457"/>
    <w:rsid w:val="00687535"/>
    <w:rsid w:val="00691DCC"/>
    <w:rsid w:val="006A51F9"/>
    <w:rsid w:val="006A5C55"/>
    <w:rsid w:val="006C17DD"/>
    <w:rsid w:val="006C1D2C"/>
    <w:rsid w:val="006C721F"/>
    <w:rsid w:val="006E0890"/>
    <w:rsid w:val="006E2CE9"/>
    <w:rsid w:val="006E4DBE"/>
    <w:rsid w:val="006F60A4"/>
    <w:rsid w:val="006F72D0"/>
    <w:rsid w:val="00701F52"/>
    <w:rsid w:val="007047B5"/>
    <w:rsid w:val="00705B08"/>
    <w:rsid w:val="0071090B"/>
    <w:rsid w:val="00717BB1"/>
    <w:rsid w:val="007214F4"/>
    <w:rsid w:val="00736FB0"/>
    <w:rsid w:val="00737550"/>
    <w:rsid w:val="00742992"/>
    <w:rsid w:val="0074516F"/>
    <w:rsid w:val="00747D60"/>
    <w:rsid w:val="00751FAA"/>
    <w:rsid w:val="0075327D"/>
    <w:rsid w:val="00757F21"/>
    <w:rsid w:val="00762690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567"/>
    <w:rsid w:val="007C0CD8"/>
    <w:rsid w:val="007D31FD"/>
    <w:rsid w:val="007E4132"/>
    <w:rsid w:val="007E46E9"/>
    <w:rsid w:val="007E64D8"/>
    <w:rsid w:val="007F0B89"/>
    <w:rsid w:val="007F15BC"/>
    <w:rsid w:val="007F634E"/>
    <w:rsid w:val="00802B8F"/>
    <w:rsid w:val="00804A30"/>
    <w:rsid w:val="00814888"/>
    <w:rsid w:val="00833505"/>
    <w:rsid w:val="0083605A"/>
    <w:rsid w:val="008365B5"/>
    <w:rsid w:val="00844940"/>
    <w:rsid w:val="00844C63"/>
    <w:rsid w:val="008461AB"/>
    <w:rsid w:val="00847F27"/>
    <w:rsid w:val="008522E1"/>
    <w:rsid w:val="00853B37"/>
    <w:rsid w:val="008560D1"/>
    <w:rsid w:val="00861550"/>
    <w:rsid w:val="00877A3E"/>
    <w:rsid w:val="00885947"/>
    <w:rsid w:val="00890F05"/>
    <w:rsid w:val="00891C85"/>
    <w:rsid w:val="008943EC"/>
    <w:rsid w:val="008A366A"/>
    <w:rsid w:val="008A51AE"/>
    <w:rsid w:val="008B72B0"/>
    <w:rsid w:val="008B76F1"/>
    <w:rsid w:val="008C0D19"/>
    <w:rsid w:val="008C7260"/>
    <w:rsid w:val="008E073D"/>
    <w:rsid w:val="008F244C"/>
    <w:rsid w:val="0090259B"/>
    <w:rsid w:val="00905EA8"/>
    <w:rsid w:val="00906CEF"/>
    <w:rsid w:val="009211C4"/>
    <w:rsid w:val="009254AE"/>
    <w:rsid w:val="00952E8D"/>
    <w:rsid w:val="00954AE2"/>
    <w:rsid w:val="00966776"/>
    <w:rsid w:val="00970A89"/>
    <w:rsid w:val="00970AB5"/>
    <w:rsid w:val="009736C5"/>
    <w:rsid w:val="00976FF2"/>
    <w:rsid w:val="009831C4"/>
    <w:rsid w:val="00986EFA"/>
    <w:rsid w:val="0099041C"/>
    <w:rsid w:val="00991499"/>
    <w:rsid w:val="009A4F81"/>
    <w:rsid w:val="009A6685"/>
    <w:rsid w:val="009B0A54"/>
    <w:rsid w:val="009B359A"/>
    <w:rsid w:val="009D3508"/>
    <w:rsid w:val="009D6C9A"/>
    <w:rsid w:val="009E0EDE"/>
    <w:rsid w:val="009E36C0"/>
    <w:rsid w:val="009E4F15"/>
    <w:rsid w:val="009E5CCF"/>
    <w:rsid w:val="009F1758"/>
    <w:rsid w:val="009F2458"/>
    <w:rsid w:val="00A05F28"/>
    <w:rsid w:val="00A17220"/>
    <w:rsid w:val="00A40667"/>
    <w:rsid w:val="00A4118B"/>
    <w:rsid w:val="00A511F7"/>
    <w:rsid w:val="00A546F9"/>
    <w:rsid w:val="00A54E8D"/>
    <w:rsid w:val="00A606AC"/>
    <w:rsid w:val="00A654C1"/>
    <w:rsid w:val="00A73037"/>
    <w:rsid w:val="00AA037D"/>
    <w:rsid w:val="00AA4333"/>
    <w:rsid w:val="00AA4664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10D56"/>
    <w:rsid w:val="00B21100"/>
    <w:rsid w:val="00B23904"/>
    <w:rsid w:val="00B267F4"/>
    <w:rsid w:val="00B3099B"/>
    <w:rsid w:val="00B41F09"/>
    <w:rsid w:val="00B44C26"/>
    <w:rsid w:val="00B50D90"/>
    <w:rsid w:val="00B51A47"/>
    <w:rsid w:val="00B7254A"/>
    <w:rsid w:val="00B7664E"/>
    <w:rsid w:val="00B820CD"/>
    <w:rsid w:val="00BA2010"/>
    <w:rsid w:val="00BA5700"/>
    <w:rsid w:val="00BB5601"/>
    <w:rsid w:val="00BC17D8"/>
    <w:rsid w:val="00BD613C"/>
    <w:rsid w:val="00BE13CE"/>
    <w:rsid w:val="00BF7896"/>
    <w:rsid w:val="00C028BF"/>
    <w:rsid w:val="00C1400D"/>
    <w:rsid w:val="00C153C2"/>
    <w:rsid w:val="00C15F45"/>
    <w:rsid w:val="00C175F6"/>
    <w:rsid w:val="00C2344E"/>
    <w:rsid w:val="00C34F53"/>
    <w:rsid w:val="00C418AF"/>
    <w:rsid w:val="00C51F18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A640C"/>
    <w:rsid w:val="00CC3752"/>
    <w:rsid w:val="00CC4C67"/>
    <w:rsid w:val="00CD469D"/>
    <w:rsid w:val="00CE09F6"/>
    <w:rsid w:val="00CF492C"/>
    <w:rsid w:val="00CF4CF9"/>
    <w:rsid w:val="00CF55C0"/>
    <w:rsid w:val="00D21732"/>
    <w:rsid w:val="00D41EA6"/>
    <w:rsid w:val="00D52C3D"/>
    <w:rsid w:val="00D5369C"/>
    <w:rsid w:val="00D56088"/>
    <w:rsid w:val="00D56C5B"/>
    <w:rsid w:val="00D61D79"/>
    <w:rsid w:val="00D74550"/>
    <w:rsid w:val="00D77F14"/>
    <w:rsid w:val="00D856A9"/>
    <w:rsid w:val="00D9350B"/>
    <w:rsid w:val="00DA5249"/>
    <w:rsid w:val="00DC2355"/>
    <w:rsid w:val="00DC3DA1"/>
    <w:rsid w:val="00DC563A"/>
    <w:rsid w:val="00DC7879"/>
    <w:rsid w:val="00DF3D1E"/>
    <w:rsid w:val="00DF46FE"/>
    <w:rsid w:val="00DF79B1"/>
    <w:rsid w:val="00E251DC"/>
    <w:rsid w:val="00E34E50"/>
    <w:rsid w:val="00E408CD"/>
    <w:rsid w:val="00E5082D"/>
    <w:rsid w:val="00E50C6C"/>
    <w:rsid w:val="00E53601"/>
    <w:rsid w:val="00E546B9"/>
    <w:rsid w:val="00E54B9A"/>
    <w:rsid w:val="00E6114A"/>
    <w:rsid w:val="00E61B88"/>
    <w:rsid w:val="00E6352E"/>
    <w:rsid w:val="00E672A8"/>
    <w:rsid w:val="00E700C8"/>
    <w:rsid w:val="00E869DB"/>
    <w:rsid w:val="00E97C56"/>
    <w:rsid w:val="00EA062D"/>
    <w:rsid w:val="00EA3A71"/>
    <w:rsid w:val="00EA7847"/>
    <w:rsid w:val="00EB0281"/>
    <w:rsid w:val="00EC60B8"/>
    <w:rsid w:val="00EC7823"/>
    <w:rsid w:val="00EE714F"/>
    <w:rsid w:val="00EF6B66"/>
    <w:rsid w:val="00F12401"/>
    <w:rsid w:val="00F16689"/>
    <w:rsid w:val="00F21327"/>
    <w:rsid w:val="00F253D2"/>
    <w:rsid w:val="00F26121"/>
    <w:rsid w:val="00F27A50"/>
    <w:rsid w:val="00F31C12"/>
    <w:rsid w:val="00F37358"/>
    <w:rsid w:val="00F3786F"/>
    <w:rsid w:val="00F40421"/>
    <w:rsid w:val="00F46FE1"/>
    <w:rsid w:val="00F517CF"/>
    <w:rsid w:val="00F559CC"/>
    <w:rsid w:val="00F55A0A"/>
    <w:rsid w:val="00F6328B"/>
    <w:rsid w:val="00F852DD"/>
    <w:rsid w:val="00F86580"/>
    <w:rsid w:val="00FA16B6"/>
    <w:rsid w:val="00FA2C32"/>
    <w:rsid w:val="00FB280E"/>
    <w:rsid w:val="00FC319C"/>
    <w:rsid w:val="00FC501B"/>
    <w:rsid w:val="00FC58F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11F889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69BC-7237-4264-9FE0-2C6ED1F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2019-10-25T07:58:00Z</cp:lastPrinted>
  <dcterms:created xsi:type="dcterms:W3CDTF">2019-10-25T07:32:00Z</dcterms:created>
  <dcterms:modified xsi:type="dcterms:W3CDTF">2019-10-25T08:07:00Z</dcterms:modified>
</cp:coreProperties>
</file>