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DF9" w:rsidRDefault="00210DF9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DF9" w:rsidRDefault="00210DF9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380F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62B23" w:rsidRDefault="00462B23" w:rsidP="00462B2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0380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EF7C4A" w:rsidRPr="00B23904" w:rsidRDefault="00EF7C4A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</w:p>
    <w:p w:rsidR="00693097" w:rsidRPr="00DF675E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B437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 impone 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autoridad </w:t>
      </w:r>
      <w:r w:rsidR="009B437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mínimo histórico de ‘La Voz </w:t>
      </w:r>
      <w:proofErr w:type="spellStart"/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Kids</w:t>
      </w:r>
      <w:proofErr w:type="spellEnd"/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F675E" w:rsidRDefault="00DF675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en Telecinco (1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2.784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4 puntos a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089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00).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La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547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67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más de 11 puntos</w:t>
      </w:r>
      <w:r w:rsidR="00DF67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448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Kids</w:t>
      </w:r>
      <w:proofErr w:type="spellEnd"/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1.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893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C03A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E00A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3097" w:rsidRPr="00A611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 menos vista en la historia del formato</w:t>
      </w:r>
      <w:r w:rsidR="00C03A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la fecha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1866EE" w:rsidRDefault="001866E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DF675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2.547.000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a Antena 3 (10,5%)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Inclu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so en la franja coincidente con ‘La Voz </w:t>
      </w:r>
      <w:proofErr w:type="spellStart"/>
      <w:r w:rsidR="00A97A39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97A39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76D59">
        <w:rPr>
          <w:rFonts w:ascii="Arial" w:eastAsia="Times New Roman" w:hAnsi="Arial" w:cs="Arial"/>
          <w:sz w:val="24"/>
          <w:szCs w:val="24"/>
          <w:lang w:eastAsia="es-ES"/>
        </w:rPr>
        <w:t xml:space="preserve">, entre las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E041D4">
        <w:rPr>
          <w:rFonts w:ascii="Arial" w:eastAsia="Times New Roman" w:hAnsi="Arial" w:cs="Arial"/>
          <w:sz w:val="24"/>
          <w:szCs w:val="24"/>
          <w:lang w:val="pt-BR" w:eastAsia="es-ES"/>
        </w:rPr>
        <w:t>3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E041D4">
        <w:rPr>
          <w:rFonts w:ascii="Arial" w:eastAsia="Times New Roman" w:hAnsi="Arial" w:cs="Arial"/>
          <w:sz w:val="24"/>
          <w:szCs w:val="24"/>
          <w:lang w:val="pt-BR" w:eastAsia="es-ES"/>
        </w:rPr>
        <w:t>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 y las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00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09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h,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Cuatro</w:t>
      </w:r>
      <w:proofErr w:type="spellEnd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1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,3%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2.992.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) </w:t>
      </w:r>
      <w:proofErr w:type="spellStart"/>
      <w:r w:rsidR="008512B9">
        <w:rPr>
          <w:rFonts w:ascii="Arial" w:eastAsia="Times New Roman" w:hAnsi="Arial" w:cs="Arial"/>
          <w:sz w:val="24"/>
          <w:szCs w:val="24"/>
          <w:lang w:val="pt-BR" w:eastAsia="es-ES"/>
        </w:rPr>
        <w:t>aventajó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en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7,8</w:t>
      </w:r>
      <w:r w:rsidR="00576D5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proofErr w:type="spellStart"/>
      <w:r w:rsidR="00576D59" w:rsidRPr="007F2FD5">
        <w:rPr>
          <w:rFonts w:ascii="Arial" w:eastAsia="Times New Roman" w:hAnsi="Arial" w:cs="Arial"/>
          <w:sz w:val="24"/>
          <w:szCs w:val="24"/>
          <w:lang w:val="pt-BR" w:eastAsia="es-ES"/>
        </w:rPr>
        <w:t>puntos</w:t>
      </w:r>
      <w:proofErr w:type="spellEnd"/>
      <w:r w:rsidR="00576D59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E773FC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más de </w:t>
      </w:r>
      <w:r w:rsidR="008512B9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1 </w:t>
      </w:r>
      <w:proofErr w:type="spellStart"/>
      <w:r w:rsidR="00E773FC" w:rsidRPr="007F2FD5">
        <w:rPr>
          <w:rFonts w:ascii="Arial" w:eastAsia="Times New Roman" w:hAnsi="Arial" w:cs="Arial"/>
          <w:sz w:val="24"/>
          <w:szCs w:val="24"/>
          <w:lang w:val="pt-BR" w:eastAsia="es-ES"/>
        </w:rPr>
        <w:t>mill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ón</w:t>
      </w:r>
      <w:proofErr w:type="spellEnd"/>
      <w:r w:rsidR="008512B9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E773FC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de espectadores </w:t>
      </w:r>
      <w:r w:rsidR="00576D59" w:rsidRPr="007F2FD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a Antena 3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(1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3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5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1.</w:t>
      </w:r>
      <w:r w:rsidR="007F2FD5">
        <w:rPr>
          <w:rFonts w:ascii="Arial" w:eastAsia="Times New Roman" w:hAnsi="Arial" w:cs="Arial"/>
          <w:sz w:val="24"/>
          <w:szCs w:val="24"/>
          <w:lang w:val="pt-BR" w:eastAsia="es-ES"/>
        </w:rPr>
        <w:t>893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)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</w:t>
      </w:r>
      <w:r w:rsidR="0065761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41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%). Como resultado, Cuatro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29,7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784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7464A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7464A0">
        <w:rPr>
          <w:rFonts w:ascii="Arial" w:eastAsia="Times New Roman" w:hAnsi="Arial" w:cs="Arial"/>
          <w:bCs/>
          <w:sz w:val="24"/>
          <w:szCs w:val="24"/>
          <w:lang w:eastAsia="es-ES"/>
        </w:rPr>
        <w:t>089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702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412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4,6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59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>
        <w:rPr>
          <w:rFonts w:ascii="Arial" w:eastAsia="Times New Roman" w:hAnsi="Arial" w:cs="Arial"/>
          <w:sz w:val="24"/>
          <w:szCs w:val="24"/>
          <w:lang w:eastAsia="es-ES"/>
        </w:rPr>
        <w:t>745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6,1%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1.982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922D65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>fue la televisión más vista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464A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464A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464A0">
        <w:rPr>
          <w:rFonts w:ascii="Arial" w:eastAsia="Times New Roman" w:hAnsi="Arial" w:cs="Arial"/>
          <w:sz w:val="24"/>
          <w:szCs w:val="24"/>
          <w:lang w:eastAsia="es-ES"/>
        </w:rPr>
        <w:t>casi 2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7464A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464A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10DF9"/>
    <w:rsid w:val="002347A6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010E"/>
    <w:rsid w:val="007B22E6"/>
    <w:rsid w:val="007B7FFD"/>
    <w:rsid w:val="007C4060"/>
    <w:rsid w:val="007D0E85"/>
    <w:rsid w:val="007F2FD5"/>
    <w:rsid w:val="008251B8"/>
    <w:rsid w:val="008337DC"/>
    <w:rsid w:val="00833B61"/>
    <w:rsid w:val="00845C83"/>
    <w:rsid w:val="008512B9"/>
    <w:rsid w:val="00855414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23006"/>
    <w:rsid w:val="00A340B7"/>
    <w:rsid w:val="00A423BC"/>
    <w:rsid w:val="00A5381C"/>
    <w:rsid w:val="00A611FF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4CD38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B70D-3380-4940-90CB-CF0DC905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2019-10-16T08:32:00Z</cp:lastPrinted>
  <dcterms:created xsi:type="dcterms:W3CDTF">2019-10-16T07:58:00Z</dcterms:created>
  <dcterms:modified xsi:type="dcterms:W3CDTF">2019-10-16T09:30:00Z</dcterms:modified>
</cp:coreProperties>
</file>