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3B14A60A" w:rsidR="00B108BD" w:rsidRDefault="0045324D" w:rsidP="008A7830">
      <w:pPr>
        <w:tabs>
          <w:tab w:val="left" w:pos="4962"/>
        </w:tabs>
        <w:spacing w:after="0" w:line="240" w:lineRule="auto"/>
        <w:ind w:right="567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FB80A40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77777777" w:rsidR="00F16367" w:rsidRPr="00F16367" w:rsidRDefault="00F16367" w:rsidP="008A7830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es-ES"/>
        </w:rPr>
      </w:pPr>
    </w:p>
    <w:p w14:paraId="0DCDED6F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61B3EE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9C9E94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6E2DFD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84291E" w14:textId="77777777" w:rsidR="00C76D46" w:rsidRDefault="00C76D46" w:rsidP="008A7830">
      <w:pPr>
        <w:spacing w:after="0" w:line="240" w:lineRule="auto"/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agosto de 2019</w:t>
      </w:r>
    </w:p>
    <w:p w14:paraId="462A1859" w14:textId="77777777" w:rsidR="00C76D46" w:rsidRDefault="00C76D46" w:rsidP="008A7830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3020C2A" w14:textId="77777777" w:rsidR="00237DFA" w:rsidRPr="00237DFA" w:rsidRDefault="00237DFA" w:rsidP="008A7830">
      <w:pPr>
        <w:spacing w:after="0" w:line="240" w:lineRule="auto"/>
        <w:ind w:right="567"/>
        <w:jc w:val="center"/>
        <w:rPr>
          <w:rFonts w:ascii="Arial" w:eastAsia="Arial" w:hAnsi="Arial" w:cs="Arial"/>
          <w:b/>
          <w:color w:val="1F4E79" w:themeColor="accent1" w:themeShade="80"/>
          <w:sz w:val="30"/>
          <w:szCs w:val="30"/>
        </w:rPr>
      </w:pPr>
    </w:p>
    <w:p w14:paraId="3BE3C9DD" w14:textId="172B1E85" w:rsidR="001B00AB" w:rsidRDefault="00592A2A" w:rsidP="001B00AB">
      <w:pPr>
        <w:spacing w:after="0" w:line="240" w:lineRule="auto"/>
        <w:ind w:right="567"/>
        <w:jc w:val="center"/>
        <w:rPr>
          <w:rFonts w:ascii="Arial" w:eastAsia="Arial" w:hAnsi="Arial" w:cs="Arial"/>
          <w:b/>
          <w:color w:val="1F4E79"/>
          <w:sz w:val="40"/>
        </w:rPr>
      </w:pPr>
      <w:r>
        <w:rPr>
          <w:rFonts w:ascii="Arial" w:eastAsia="Arial" w:hAnsi="Arial" w:cs="Arial"/>
          <w:b/>
          <w:color w:val="1F4E79"/>
          <w:sz w:val="40"/>
        </w:rPr>
        <w:t xml:space="preserve">Los temáticos de Mediaset España baten récord con el máximo histórico de </w:t>
      </w:r>
      <w:r w:rsidR="005865E8">
        <w:rPr>
          <w:rFonts w:ascii="Arial" w:eastAsia="Arial" w:hAnsi="Arial" w:cs="Arial"/>
          <w:b/>
          <w:color w:val="1F4E79"/>
          <w:sz w:val="40"/>
        </w:rPr>
        <w:t xml:space="preserve">Energy </w:t>
      </w:r>
      <w:r>
        <w:rPr>
          <w:rFonts w:ascii="Arial" w:eastAsia="Arial" w:hAnsi="Arial" w:cs="Arial"/>
          <w:b/>
          <w:color w:val="1F4E79"/>
          <w:sz w:val="40"/>
        </w:rPr>
        <w:t xml:space="preserve">y el liderazgo indiscutible de </w:t>
      </w:r>
      <w:r w:rsidR="005865E8">
        <w:rPr>
          <w:rFonts w:ascii="Arial" w:eastAsia="Arial" w:hAnsi="Arial" w:cs="Arial"/>
          <w:b/>
          <w:color w:val="1F4E79"/>
          <w:sz w:val="40"/>
        </w:rPr>
        <w:t>FDF</w:t>
      </w:r>
      <w:r w:rsidR="001B00AB">
        <w:rPr>
          <w:rFonts w:ascii="Arial" w:eastAsia="Arial" w:hAnsi="Arial" w:cs="Arial"/>
          <w:b/>
          <w:color w:val="1F4E79"/>
          <w:sz w:val="40"/>
        </w:rPr>
        <w:t xml:space="preserve"> </w:t>
      </w:r>
    </w:p>
    <w:p w14:paraId="2CC3EBD1" w14:textId="77777777" w:rsidR="001B00AB" w:rsidRDefault="001B00AB" w:rsidP="001B00AB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</w:p>
    <w:p w14:paraId="295E2F00" w14:textId="02C11086" w:rsidR="005865E8" w:rsidRPr="005865E8" w:rsidRDefault="005865E8" w:rsidP="005865E8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  <w:r w:rsidRPr="005865E8">
        <w:rPr>
          <w:rFonts w:ascii="Arial" w:eastAsia="Arial" w:hAnsi="Arial" w:cs="Arial"/>
          <w:b/>
          <w:sz w:val="24"/>
        </w:rPr>
        <w:t xml:space="preserve">Los temáticos de Mediaset España han crecido en el mes de julio hasta alcanzar una media del 9,5% de </w:t>
      </w:r>
      <w:r w:rsidRPr="005865E8">
        <w:rPr>
          <w:rFonts w:ascii="Arial" w:eastAsia="Arial" w:hAnsi="Arial" w:cs="Arial"/>
          <w:b/>
          <w:i/>
          <w:sz w:val="24"/>
        </w:rPr>
        <w:t>share</w:t>
      </w:r>
      <w:r w:rsidRPr="005865E8">
        <w:rPr>
          <w:rFonts w:ascii="Arial" w:eastAsia="Arial" w:hAnsi="Arial" w:cs="Arial"/>
          <w:b/>
          <w:sz w:val="24"/>
        </w:rPr>
        <w:t>, acumulando 63 victorias mensuales consecutivas con su dato más alto desde agosto del pasado año</w:t>
      </w:r>
    </w:p>
    <w:p w14:paraId="43A38799" w14:textId="7395C4C9" w:rsidR="005865E8" w:rsidRDefault="005865E8" w:rsidP="005865E8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53AB3972" w14:textId="6AC7AFF1" w:rsidR="005865E8" w:rsidRDefault="005865E8" w:rsidP="005865E8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733A842B" w14:textId="4797A01C" w:rsidR="001B00AB" w:rsidRDefault="001B00AB" w:rsidP="005865E8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 w:rsidRPr="005865E8">
        <w:rPr>
          <w:rFonts w:ascii="Arial" w:eastAsia="Arial" w:hAnsi="Arial" w:cs="Arial"/>
          <w:sz w:val="24"/>
        </w:rPr>
        <w:t xml:space="preserve">Mediaset España ha vuelto a ofrecer la oferta multicanal más vista de la televisión con un 29,7% en total día, a 4,4 puntos de Atresmedia (25,3%); un 30,8% en </w:t>
      </w:r>
      <w:r w:rsidRPr="005865E8">
        <w:rPr>
          <w:rFonts w:ascii="Arial" w:eastAsia="Arial" w:hAnsi="Arial" w:cs="Arial"/>
          <w:i/>
          <w:sz w:val="24"/>
        </w:rPr>
        <w:t>prime time</w:t>
      </w:r>
      <w:r w:rsidRPr="005865E8">
        <w:rPr>
          <w:rFonts w:ascii="Arial" w:eastAsia="Arial" w:hAnsi="Arial" w:cs="Arial"/>
          <w:sz w:val="24"/>
        </w:rPr>
        <w:t xml:space="preserve"> frente al 25,2% de su inmediato competidor y un liderazgo indiscutible en </w:t>
      </w:r>
      <w:proofErr w:type="gramStart"/>
      <w:r w:rsidRPr="005865E8">
        <w:rPr>
          <w:rFonts w:ascii="Arial" w:eastAsia="Arial" w:hAnsi="Arial" w:cs="Arial"/>
          <w:i/>
          <w:sz w:val="24"/>
        </w:rPr>
        <w:t>target</w:t>
      </w:r>
      <w:proofErr w:type="gramEnd"/>
      <w:r w:rsidRPr="005865E8">
        <w:rPr>
          <w:rFonts w:ascii="Arial" w:eastAsia="Arial" w:hAnsi="Arial" w:cs="Arial"/>
          <w:i/>
          <w:sz w:val="24"/>
        </w:rPr>
        <w:t xml:space="preserve"> comercial</w:t>
      </w:r>
      <w:r w:rsidRPr="005865E8">
        <w:rPr>
          <w:rFonts w:ascii="Arial" w:eastAsia="Arial" w:hAnsi="Arial" w:cs="Arial"/>
          <w:sz w:val="24"/>
        </w:rPr>
        <w:t xml:space="preserve">, tanto de total día (31,8%) como de </w:t>
      </w:r>
      <w:r w:rsidRPr="005865E8">
        <w:rPr>
          <w:rFonts w:ascii="Arial" w:eastAsia="Arial" w:hAnsi="Arial" w:cs="Arial"/>
          <w:i/>
          <w:sz w:val="24"/>
        </w:rPr>
        <w:t>prime time</w:t>
      </w:r>
      <w:r w:rsidRPr="005865E8">
        <w:rPr>
          <w:rFonts w:ascii="Arial" w:eastAsia="Arial" w:hAnsi="Arial" w:cs="Arial"/>
          <w:sz w:val="24"/>
        </w:rPr>
        <w:t xml:space="preserve"> (31,9%), superando en ambos a Atresmedia (26,2% y 26,5%).</w:t>
      </w:r>
    </w:p>
    <w:p w14:paraId="1EE626FE" w14:textId="7E72A96C" w:rsidR="005865E8" w:rsidRDefault="005865E8" w:rsidP="005865E8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9C9B97D" w14:textId="2CE08A82" w:rsidR="007536D6" w:rsidRDefault="005865E8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Unos datos a los que han contribuido de forma notable </w:t>
      </w:r>
      <w:r w:rsidR="00BD6452">
        <w:rPr>
          <w:rFonts w:ascii="Arial" w:eastAsia="Arial" w:hAnsi="Arial" w:cs="Arial"/>
          <w:sz w:val="24"/>
        </w:rPr>
        <w:t>los canales temáticos de la compañía, líderes por 63 meses consecutivos</w:t>
      </w:r>
      <w:r w:rsidR="007536D6">
        <w:rPr>
          <w:rFonts w:ascii="Arial" w:eastAsia="Arial" w:hAnsi="Arial" w:cs="Arial"/>
          <w:sz w:val="24"/>
        </w:rPr>
        <w:t xml:space="preserve"> entre los que han destacado </w:t>
      </w:r>
      <w:r w:rsidR="001B00AB">
        <w:rPr>
          <w:rFonts w:ascii="Arial" w:eastAsia="Arial" w:hAnsi="Arial" w:cs="Arial"/>
          <w:b/>
          <w:sz w:val="24"/>
        </w:rPr>
        <w:t>Factoría de Ficción</w:t>
      </w:r>
      <w:r w:rsidR="001B00AB" w:rsidRPr="007536D6">
        <w:rPr>
          <w:rFonts w:ascii="Arial" w:eastAsia="Arial" w:hAnsi="Arial" w:cs="Arial"/>
          <w:b/>
          <w:sz w:val="24"/>
        </w:rPr>
        <w:t xml:space="preserve"> (3,1%) </w:t>
      </w:r>
      <w:r w:rsidR="007536D6">
        <w:rPr>
          <w:rFonts w:ascii="Arial" w:eastAsia="Arial" w:hAnsi="Arial" w:cs="Arial"/>
          <w:sz w:val="24"/>
        </w:rPr>
        <w:t xml:space="preserve">y </w:t>
      </w:r>
      <w:r w:rsidR="007536D6" w:rsidRPr="007536D6">
        <w:rPr>
          <w:rFonts w:ascii="Arial" w:eastAsia="Arial" w:hAnsi="Arial" w:cs="Arial"/>
          <w:b/>
          <w:sz w:val="24"/>
        </w:rPr>
        <w:t>Energy (2,6%)</w:t>
      </w:r>
      <w:r w:rsidR="007536D6">
        <w:rPr>
          <w:rFonts w:ascii="Arial" w:eastAsia="Arial" w:hAnsi="Arial" w:cs="Arial"/>
          <w:sz w:val="24"/>
        </w:rPr>
        <w:t xml:space="preserve"> como los más vistos de Mediaset.</w:t>
      </w:r>
    </w:p>
    <w:p w14:paraId="6599F97A" w14:textId="77777777" w:rsidR="007536D6" w:rsidRDefault="007536D6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AC8BF9F" w14:textId="78C731CC" w:rsidR="007536D6" w:rsidRDefault="007536D6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primer lugar, Factoría de Ficción, líder t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emático </w:t>
      </w:r>
      <w:r w:rsidR="001B00AB">
        <w:rPr>
          <w:rFonts w:ascii="Arial" w:eastAsia="Arial" w:hAnsi="Arial" w:cs="Arial"/>
          <w:sz w:val="24"/>
        </w:rPr>
        <w:t>por 88º mes consecutivo</w:t>
      </w:r>
      <w:r>
        <w:rPr>
          <w:rFonts w:ascii="Arial" w:eastAsia="Arial" w:hAnsi="Arial" w:cs="Arial"/>
          <w:sz w:val="24"/>
        </w:rPr>
        <w:t xml:space="preserve">, </w:t>
      </w:r>
      <w:r w:rsidR="001B00AB">
        <w:rPr>
          <w:rFonts w:ascii="Arial" w:eastAsia="Arial" w:hAnsi="Arial" w:cs="Arial"/>
          <w:sz w:val="24"/>
        </w:rPr>
        <w:t>con su mejor dato desde agosto de 2018. Es el temático y la tercera televisión nacional más vista por los jóvenes de 13 a 24 años (8,2%), con un 3,8% en</w:t>
      </w:r>
      <w:r w:rsidR="001B00AB">
        <w:rPr>
          <w:rFonts w:ascii="Arial" w:eastAsia="Arial" w:hAnsi="Arial" w:cs="Arial"/>
          <w:i/>
          <w:sz w:val="24"/>
        </w:rPr>
        <w:t xml:space="preserve"> </w:t>
      </w:r>
      <w:proofErr w:type="gramStart"/>
      <w:r w:rsidR="001B00AB">
        <w:rPr>
          <w:rFonts w:ascii="Arial" w:eastAsia="Arial" w:hAnsi="Arial" w:cs="Arial"/>
          <w:i/>
          <w:sz w:val="24"/>
        </w:rPr>
        <w:t>target</w:t>
      </w:r>
      <w:proofErr w:type="gramEnd"/>
      <w:r w:rsidR="001B00AB">
        <w:rPr>
          <w:rFonts w:ascii="Arial" w:eastAsia="Arial" w:hAnsi="Arial" w:cs="Arial"/>
          <w:sz w:val="24"/>
        </w:rPr>
        <w:t xml:space="preserve"> comercial. </w:t>
      </w:r>
    </w:p>
    <w:p w14:paraId="2178F2A9" w14:textId="77777777" w:rsidR="007536D6" w:rsidRDefault="007536D6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8063C69" w14:textId="24BB937B" w:rsidR="007536D6" w:rsidRPr="007536D6" w:rsidRDefault="007536D6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</w:pPr>
      <w:r w:rsidRPr="007536D6"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  <w:t>Energ</w:t>
      </w:r>
      <w:r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  <w:t>y, en el pódium de los temáticos más vistos de julio</w:t>
      </w:r>
    </w:p>
    <w:p w14:paraId="6BE1495E" w14:textId="77777777" w:rsidR="007536D6" w:rsidRDefault="007536D6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3BE3AF9" w14:textId="77777777" w:rsidR="00934A37" w:rsidRPr="00592A2A" w:rsidRDefault="001B00AB" w:rsidP="00E9162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 w:rsidRPr="00592A2A">
        <w:rPr>
          <w:rFonts w:ascii="Arial" w:eastAsia="Arial" w:hAnsi="Arial" w:cs="Arial"/>
          <w:b/>
          <w:sz w:val="24"/>
        </w:rPr>
        <w:t xml:space="preserve">Energy </w:t>
      </w:r>
      <w:r w:rsidRPr="00592A2A">
        <w:rPr>
          <w:rFonts w:ascii="Arial" w:eastAsia="Arial" w:hAnsi="Arial" w:cs="Arial"/>
          <w:sz w:val="24"/>
        </w:rPr>
        <w:t>(2,6%)</w:t>
      </w:r>
      <w:r w:rsidR="007536D6" w:rsidRPr="00592A2A">
        <w:rPr>
          <w:rFonts w:ascii="Arial" w:eastAsia="Arial" w:hAnsi="Arial" w:cs="Arial"/>
          <w:sz w:val="24"/>
        </w:rPr>
        <w:t xml:space="preserve">, por </w:t>
      </w:r>
      <w:r w:rsidRPr="00592A2A">
        <w:rPr>
          <w:rFonts w:ascii="Arial" w:eastAsia="Arial" w:hAnsi="Arial" w:cs="Arial"/>
          <w:sz w:val="24"/>
        </w:rPr>
        <w:t>su parte</w:t>
      </w:r>
      <w:r w:rsidR="007536D6" w:rsidRPr="00592A2A">
        <w:rPr>
          <w:rFonts w:ascii="Arial" w:eastAsia="Arial" w:hAnsi="Arial" w:cs="Arial"/>
          <w:sz w:val="24"/>
        </w:rPr>
        <w:t xml:space="preserve"> ha sido</w:t>
      </w:r>
      <w:r w:rsidRPr="00592A2A">
        <w:rPr>
          <w:rFonts w:ascii="Arial" w:eastAsia="Arial" w:hAnsi="Arial" w:cs="Arial"/>
          <w:sz w:val="24"/>
        </w:rPr>
        <w:t xml:space="preserve"> el tercer canal temático más visto con su </w:t>
      </w:r>
      <w:r w:rsidRPr="00592A2A">
        <w:rPr>
          <w:rFonts w:ascii="Arial" w:eastAsia="Arial" w:hAnsi="Arial" w:cs="Arial"/>
          <w:b/>
          <w:sz w:val="24"/>
        </w:rPr>
        <w:t>récord histórico</w:t>
      </w:r>
      <w:r w:rsidRPr="00592A2A">
        <w:rPr>
          <w:rFonts w:ascii="Arial" w:eastAsia="Arial" w:hAnsi="Arial" w:cs="Arial"/>
          <w:sz w:val="24"/>
        </w:rPr>
        <w:t xml:space="preserve"> tanto en total día como en </w:t>
      </w:r>
      <w:proofErr w:type="gramStart"/>
      <w:r w:rsidRPr="00592A2A">
        <w:rPr>
          <w:rFonts w:ascii="Arial" w:eastAsia="Arial" w:hAnsi="Arial" w:cs="Arial"/>
          <w:i/>
          <w:sz w:val="24"/>
        </w:rPr>
        <w:t>target</w:t>
      </w:r>
      <w:proofErr w:type="gramEnd"/>
      <w:r w:rsidRPr="00592A2A">
        <w:rPr>
          <w:rFonts w:ascii="Arial" w:eastAsia="Arial" w:hAnsi="Arial" w:cs="Arial"/>
          <w:sz w:val="24"/>
        </w:rPr>
        <w:t xml:space="preserve"> comercial (3,3%). </w:t>
      </w:r>
    </w:p>
    <w:p w14:paraId="23E9563C" w14:textId="619FB52E" w:rsidR="00934A37" w:rsidRPr="00592A2A" w:rsidRDefault="00934A37" w:rsidP="00E9162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ACE9CA4" w14:textId="6C5C4D1C" w:rsidR="00934A37" w:rsidRPr="00592A2A" w:rsidRDefault="00934A37" w:rsidP="00E9162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 w:rsidRPr="00592A2A">
        <w:rPr>
          <w:rFonts w:ascii="Arial" w:eastAsia="Arial" w:hAnsi="Arial" w:cs="Arial"/>
          <w:sz w:val="24"/>
        </w:rPr>
        <w:t xml:space="preserve">La evolución ascendente del canal obedece al acierto en su estrategia de contenidos. Energy ha llevado a cabo </w:t>
      </w:r>
      <w:r w:rsidR="00592A2A" w:rsidRPr="00592A2A">
        <w:rPr>
          <w:rFonts w:ascii="Arial" w:eastAsia="Arial" w:hAnsi="Arial" w:cs="Arial"/>
          <w:sz w:val="24"/>
        </w:rPr>
        <w:t>en los últimos meses</w:t>
      </w:r>
      <w:r w:rsidRPr="00592A2A">
        <w:rPr>
          <w:rFonts w:ascii="Arial" w:eastAsia="Arial" w:hAnsi="Arial" w:cs="Arial"/>
          <w:sz w:val="24"/>
        </w:rPr>
        <w:t xml:space="preserve"> una gran apuesta por la ficción internacional dirigida al público </w:t>
      </w:r>
      <w:r w:rsidR="00066380">
        <w:rPr>
          <w:rFonts w:ascii="Arial" w:eastAsia="Arial" w:hAnsi="Arial" w:cs="Arial"/>
          <w:sz w:val="24"/>
        </w:rPr>
        <w:t>comercial</w:t>
      </w:r>
      <w:r w:rsidR="00592A2A" w:rsidRPr="00592A2A">
        <w:rPr>
          <w:rFonts w:ascii="Arial" w:eastAsia="Arial" w:hAnsi="Arial" w:cs="Arial"/>
          <w:sz w:val="24"/>
        </w:rPr>
        <w:t>,</w:t>
      </w:r>
      <w:r w:rsidRPr="00592A2A">
        <w:rPr>
          <w:rFonts w:ascii="Arial" w:eastAsia="Arial" w:hAnsi="Arial" w:cs="Arial"/>
          <w:sz w:val="24"/>
        </w:rPr>
        <w:t xml:space="preserve"> que ha dado su reconocimiento </w:t>
      </w:r>
      <w:r w:rsidR="00146D3E" w:rsidRPr="00592A2A">
        <w:rPr>
          <w:rFonts w:ascii="Arial" w:eastAsia="Arial" w:hAnsi="Arial" w:cs="Arial"/>
          <w:sz w:val="24"/>
        </w:rPr>
        <w:t>a la cadena en el mes de julio</w:t>
      </w:r>
      <w:r w:rsidRPr="00592A2A">
        <w:rPr>
          <w:rFonts w:ascii="Arial" w:eastAsia="Arial" w:hAnsi="Arial" w:cs="Arial"/>
          <w:sz w:val="24"/>
        </w:rPr>
        <w:t xml:space="preserve">. </w:t>
      </w:r>
      <w:r w:rsidR="00146D3E" w:rsidRPr="00592A2A">
        <w:rPr>
          <w:rFonts w:ascii="Arial" w:eastAsia="Arial" w:hAnsi="Arial" w:cs="Arial"/>
          <w:sz w:val="24"/>
        </w:rPr>
        <w:t>En Energy, d</w:t>
      </w:r>
      <w:r w:rsidRPr="00592A2A">
        <w:rPr>
          <w:rFonts w:ascii="Arial" w:eastAsia="Arial" w:hAnsi="Arial" w:cs="Arial"/>
          <w:sz w:val="24"/>
        </w:rPr>
        <w:t xml:space="preserve">estacan </w:t>
      </w:r>
      <w:r w:rsidR="00146D3E" w:rsidRPr="00592A2A">
        <w:rPr>
          <w:rFonts w:ascii="Arial" w:eastAsia="Arial" w:hAnsi="Arial" w:cs="Arial"/>
          <w:sz w:val="24"/>
        </w:rPr>
        <w:t>propuestas internacionales de las mejores series de investigación forense como ‘CSI Las Vegas’, ‘CSI Nueva York’ y ‘CSI Miami’</w:t>
      </w:r>
      <w:r w:rsidR="002F239D" w:rsidRPr="00592A2A">
        <w:rPr>
          <w:rFonts w:ascii="Arial" w:eastAsia="Arial" w:hAnsi="Arial" w:cs="Arial"/>
          <w:sz w:val="24"/>
        </w:rPr>
        <w:t xml:space="preserve">; y </w:t>
      </w:r>
      <w:r w:rsidR="00146D3E" w:rsidRPr="00592A2A">
        <w:rPr>
          <w:rFonts w:ascii="Arial" w:eastAsia="Arial" w:hAnsi="Arial" w:cs="Arial"/>
          <w:sz w:val="24"/>
        </w:rPr>
        <w:t xml:space="preserve">grandes </w:t>
      </w:r>
      <w:r w:rsidR="002F239D" w:rsidRPr="00592A2A">
        <w:rPr>
          <w:rFonts w:ascii="Arial" w:eastAsia="Arial" w:hAnsi="Arial" w:cs="Arial"/>
          <w:sz w:val="24"/>
        </w:rPr>
        <w:t>policiacas</w:t>
      </w:r>
      <w:r w:rsidR="00146D3E" w:rsidRPr="00592A2A">
        <w:rPr>
          <w:rFonts w:ascii="Arial" w:eastAsia="Arial" w:hAnsi="Arial" w:cs="Arial"/>
          <w:sz w:val="24"/>
        </w:rPr>
        <w:t xml:space="preserve"> como ‘Mentes Criminales, ‘</w:t>
      </w:r>
      <w:proofErr w:type="spellStart"/>
      <w:r w:rsidR="00146D3E" w:rsidRPr="00592A2A">
        <w:rPr>
          <w:rFonts w:ascii="Arial" w:eastAsia="Arial" w:hAnsi="Arial" w:cs="Arial"/>
          <w:sz w:val="24"/>
        </w:rPr>
        <w:t>Hawai</w:t>
      </w:r>
      <w:proofErr w:type="spellEnd"/>
      <w:r w:rsidR="00146D3E" w:rsidRPr="00592A2A">
        <w:rPr>
          <w:rFonts w:ascii="Arial" w:eastAsia="Arial" w:hAnsi="Arial" w:cs="Arial"/>
          <w:sz w:val="24"/>
        </w:rPr>
        <w:t xml:space="preserve"> 5.0’, ‘Blue </w:t>
      </w:r>
      <w:proofErr w:type="spellStart"/>
      <w:r w:rsidR="00146D3E" w:rsidRPr="00592A2A">
        <w:rPr>
          <w:rFonts w:ascii="Arial" w:eastAsia="Arial" w:hAnsi="Arial" w:cs="Arial"/>
          <w:sz w:val="24"/>
        </w:rPr>
        <w:t>Bloods</w:t>
      </w:r>
      <w:proofErr w:type="spellEnd"/>
      <w:r w:rsidR="00146D3E" w:rsidRPr="00592A2A">
        <w:rPr>
          <w:rFonts w:ascii="Arial" w:eastAsia="Arial" w:hAnsi="Arial" w:cs="Arial"/>
          <w:sz w:val="24"/>
        </w:rPr>
        <w:t>: Familia de policías’</w:t>
      </w:r>
      <w:r w:rsidR="002F239D" w:rsidRPr="00592A2A">
        <w:rPr>
          <w:rFonts w:ascii="Arial" w:eastAsia="Arial" w:hAnsi="Arial" w:cs="Arial"/>
          <w:sz w:val="24"/>
        </w:rPr>
        <w:t xml:space="preserve"> y ‘</w:t>
      </w:r>
      <w:proofErr w:type="spellStart"/>
      <w:r w:rsidR="002F239D" w:rsidRPr="00592A2A">
        <w:rPr>
          <w:rFonts w:ascii="Arial" w:eastAsia="Arial" w:hAnsi="Arial" w:cs="Arial"/>
          <w:sz w:val="24"/>
        </w:rPr>
        <w:t>Castle</w:t>
      </w:r>
      <w:proofErr w:type="spellEnd"/>
      <w:r w:rsidR="002F239D" w:rsidRPr="00592A2A">
        <w:rPr>
          <w:rFonts w:ascii="Arial" w:eastAsia="Arial" w:hAnsi="Arial" w:cs="Arial"/>
          <w:sz w:val="24"/>
        </w:rPr>
        <w:t xml:space="preserve">’. </w:t>
      </w:r>
    </w:p>
    <w:p w14:paraId="02FA4F1B" w14:textId="57B97CFF" w:rsidR="002F239D" w:rsidRPr="00592A2A" w:rsidRDefault="002F239D" w:rsidP="00E9162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01FD39B4" w14:textId="5799B5B9" w:rsidR="002F239D" w:rsidRPr="00592A2A" w:rsidRDefault="002F239D" w:rsidP="00E9162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 w:rsidRPr="00592A2A">
        <w:rPr>
          <w:rFonts w:ascii="Arial" w:eastAsia="Arial" w:hAnsi="Arial" w:cs="Arial"/>
          <w:sz w:val="24"/>
        </w:rPr>
        <w:t xml:space="preserve">Además, el estreno de la ficción ucraniana </w:t>
      </w:r>
      <w:r w:rsidRPr="00592A2A">
        <w:rPr>
          <w:rFonts w:ascii="Arial" w:eastAsia="Arial" w:hAnsi="Arial" w:cs="Arial"/>
          <w:b/>
          <w:sz w:val="24"/>
        </w:rPr>
        <w:t>‘</w:t>
      </w:r>
      <w:proofErr w:type="spellStart"/>
      <w:r w:rsidRPr="00592A2A">
        <w:rPr>
          <w:rFonts w:ascii="Arial" w:eastAsia="Arial" w:hAnsi="Arial" w:cs="Arial"/>
          <w:b/>
          <w:sz w:val="24"/>
        </w:rPr>
        <w:t>The</w:t>
      </w:r>
      <w:proofErr w:type="spellEnd"/>
      <w:r w:rsidRPr="00592A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592A2A">
        <w:rPr>
          <w:rFonts w:ascii="Arial" w:eastAsia="Arial" w:hAnsi="Arial" w:cs="Arial"/>
          <w:b/>
          <w:sz w:val="24"/>
        </w:rPr>
        <w:t>Sniffer</w:t>
      </w:r>
      <w:proofErr w:type="spellEnd"/>
      <w:r w:rsidRPr="00592A2A">
        <w:rPr>
          <w:rFonts w:ascii="Arial" w:eastAsia="Arial" w:hAnsi="Arial" w:cs="Arial"/>
          <w:b/>
          <w:sz w:val="24"/>
        </w:rPr>
        <w:t>’</w:t>
      </w:r>
      <w:r w:rsidRPr="00592A2A">
        <w:rPr>
          <w:rFonts w:ascii="Arial" w:eastAsia="Arial" w:hAnsi="Arial" w:cs="Arial"/>
          <w:sz w:val="24"/>
        </w:rPr>
        <w:t xml:space="preserve"> el pasado 3 de julio tuvo acogida entre la audiencia que otorgó un 3,1% de </w:t>
      </w:r>
      <w:r w:rsidRPr="00592A2A">
        <w:rPr>
          <w:rFonts w:ascii="Arial" w:eastAsia="Arial" w:hAnsi="Arial" w:cs="Arial"/>
          <w:i/>
          <w:sz w:val="24"/>
        </w:rPr>
        <w:t>share</w:t>
      </w:r>
      <w:r w:rsidRPr="00592A2A">
        <w:rPr>
          <w:rFonts w:ascii="Arial" w:eastAsia="Arial" w:hAnsi="Arial" w:cs="Arial"/>
          <w:sz w:val="24"/>
        </w:rPr>
        <w:t xml:space="preserve">. El segundo </w:t>
      </w:r>
      <w:r w:rsidRPr="00592A2A">
        <w:rPr>
          <w:rFonts w:ascii="Arial" w:eastAsia="Arial" w:hAnsi="Arial" w:cs="Arial"/>
          <w:b/>
          <w:sz w:val="24"/>
        </w:rPr>
        <w:t>mejor arranque</w:t>
      </w:r>
      <w:r w:rsidRPr="00592A2A">
        <w:rPr>
          <w:rFonts w:ascii="Arial" w:eastAsia="Arial" w:hAnsi="Arial" w:cs="Arial"/>
          <w:sz w:val="24"/>
        </w:rPr>
        <w:t xml:space="preserve"> de una serie en Energy tras ‘Los 100’. </w:t>
      </w:r>
    </w:p>
    <w:p w14:paraId="26147A56" w14:textId="3392BF88" w:rsidR="002F239D" w:rsidRDefault="002F239D" w:rsidP="002F239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</w:rPr>
      </w:pPr>
    </w:p>
    <w:p w14:paraId="38F538C8" w14:textId="2FE20522" w:rsidR="00592A2A" w:rsidRDefault="00592A2A" w:rsidP="00592A2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Han completado la oferta de los temáticos de Mediaset España </w:t>
      </w:r>
      <w:proofErr w:type="spellStart"/>
      <w:r>
        <w:rPr>
          <w:rFonts w:ascii="Arial" w:eastAsia="Arial" w:hAnsi="Arial" w:cs="Arial"/>
          <w:b/>
          <w:sz w:val="24"/>
        </w:rPr>
        <w:t>Divinity</w:t>
      </w:r>
      <w:proofErr w:type="spellEnd"/>
      <w:r>
        <w:rPr>
          <w:rFonts w:ascii="Arial" w:eastAsia="Arial" w:hAnsi="Arial" w:cs="Arial"/>
          <w:sz w:val="24"/>
        </w:rPr>
        <w:t xml:space="preserve"> (1,9%), que ha vuelto a batir a Nova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 xml:space="preserve">comercial (2,5% vs. 1,9%) y en mujeres 16-44 años (3,4% vs. 2,6%); </w:t>
      </w:r>
      <w:r>
        <w:rPr>
          <w:rFonts w:ascii="Arial" w:eastAsia="Arial" w:hAnsi="Arial" w:cs="Arial"/>
          <w:b/>
          <w:sz w:val="24"/>
        </w:rPr>
        <w:t>Boing</w:t>
      </w:r>
      <w:r>
        <w:rPr>
          <w:rFonts w:ascii="Arial" w:eastAsia="Arial" w:hAnsi="Arial" w:cs="Arial"/>
          <w:sz w:val="24"/>
        </w:rPr>
        <w:t xml:space="preserve"> (1,3%), el canal infantil líder de la televisión comercial con un 10,7% de </w:t>
      </w:r>
      <w:r>
        <w:rPr>
          <w:rFonts w:ascii="Arial" w:eastAsia="Arial" w:hAnsi="Arial" w:cs="Arial"/>
          <w:i/>
          <w:sz w:val="24"/>
        </w:rPr>
        <w:t xml:space="preserve">share </w:t>
      </w:r>
      <w:r>
        <w:rPr>
          <w:rFonts w:ascii="Arial" w:eastAsia="Arial" w:hAnsi="Arial" w:cs="Arial"/>
          <w:sz w:val="24"/>
        </w:rPr>
        <w:t xml:space="preserve">en niños de 4 a 12 años, superando en 5 décimas a Disney </w:t>
      </w:r>
      <w:proofErr w:type="spellStart"/>
      <w:r>
        <w:rPr>
          <w:rFonts w:ascii="Arial" w:eastAsia="Arial" w:hAnsi="Arial" w:cs="Arial"/>
          <w:sz w:val="24"/>
        </w:rPr>
        <w:t>Channel</w:t>
      </w:r>
      <w:proofErr w:type="spellEnd"/>
      <w:r>
        <w:rPr>
          <w:rFonts w:ascii="Arial" w:eastAsia="Arial" w:hAnsi="Arial" w:cs="Arial"/>
          <w:sz w:val="24"/>
        </w:rPr>
        <w:t xml:space="preserve"> (10,2%) y </w:t>
      </w:r>
      <w:r>
        <w:rPr>
          <w:rFonts w:ascii="Arial" w:eastAsia="Arial" w:hAnsi="Arial" w:cs="Arial"/>
          <w:b/>
          <w:sz w:val="24"/>
        </w:rPr>
        <w:t xml:space="preserve">Be </w:t>
      </w:r>
      <w:proofErr w:type="spellStart"/>
      <w:r>
        <w:rPr>
          <w:rFonts w:ascii="Arial" w:eastAsia="Arial" w:hAnsi="Arial" w:cs="Arial"/>
          <w:b/>
          <w:sz w:val="24"/>
        </w:rPr>
        <w:t>Mad</w:t>
      </w:r>
      <w:proofErr w:type="spellEnd"/>
      <w:r>
        <w:rPr>
          <w:rFonts w:ascii="Arial" w:eastAsia="Arial" w:hAnsi="Arial" w:cs="Arial"/>
          <w:sz w:val="24"/>
        </w:rPr>
        <w:t xml:space="preserve"> (0,5%), que ha marcado un 0,8%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 xml:space="preserve">comercial y un 0,9% en hombres de 16 a 44 años, igualando su máximo anual. </w:t>
      </w:r>
    </w:p>
    <w:p w14:paraId="0CEBAB38" w14:textId="481429DB" w:rsidR="00592A2A" w:rsidRDefault="00592A2A" w:rsidP="00592A2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48969E56" w14:textId="77777777" w:rsidR="00592A2A" w:rsidRDefault="00592A2A" w:rsidP="00592A2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FCA8FA4" w14:textId="77777777" w:rsidR="00592A2A" w:rsidRPr="00E9162E" w:rsidRDefault="00592A2A" w:rsidP="002F239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</w:rPr>
      </w:pPr>
    </w:p>
    <w:sectPr w:rsidR="00592A2A" w:rsidRPr="00E9162E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F126" w14:textId="77777777" w:rsidR="00A337BB" w:rsidRDefault="00A337BB" w:rsidP="00B23904">
      <w:pPr>
        <w:spacing w:after="0" w:line="240" w:lineRule="auto"/>
      </w:pPr>
      <w:r>
        <w:separator/>
      </w:r>
    </w:p>
  </w:endnote>
  <w:endnote w:type="continuationSeparator" w:id="0">
    <w:p w14:paraId="49F5D7F5" w14:textId="77777777" w:rsidR="00A337BB" w:rsidRDefault="00A337B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781D" w14:textId="77777777" w:rsidR="00A337BB" w:rsidRDefault="00A337BB" w:rsidP="00B23904">
      <w:pPr>
        <w:spacing w:after="0" w:line="240" w:lineRule="auto"/>
      </w:pPr>
      <w:r>
        <w:separator/>
      </w:r>
    </w:p>
  </w:footnote>
  <w:footnote w:type="continuationSeparator" w:id="0">
    <w:p w14:paraId="24A2D6DD" w14:textId="77777777" w:rsidR="00A337BB" w:rsidRDefault="00A337B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108"/>
    <w:rsid w:val="00045BD2"/>
    <w:rsid w:val="00046C60"/>
    <w:rsid w:val="00060DA9"/>
    <w:rsid w:val="00065037"/>
    <w:rsid w:val="00066380"/>
    <w:rsid w:val="00066BB3"/>
    <w:rsid w:val="00071615"/>
    <w:rsid w:val="00072CA7"/>
    <w:rsid w:val="000764E1"/>
    <w:rsid w:val="00081BA1"/>
    <w:rsid w:val="00093A7C"/>
    <w:rsid w:val="000961BB"/>
    <w:rsid w:val="00097E28"/>
    <w:rsid w:val="000A21D7"/>
    <w:rsid w:val="000A28BB"/>
    <w:rsid w:val="000A71E3"/>
    <w:rsid w:val="000B0034"/>
    <w:rsid w:val="000B4E88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46D3E"/>
    <w:rsid w:val="00153C12"/>
    <w:rsid w:val="001872DF"/>
    <w:rsid w:val="00190DE4"/>
    <w:rsid w:val="00191E68"/>
    <w:rsid w:val="001946B9"/>
    <w:rsid w:val="001A5D75"/>
    <w:rsid w:val="001A5DDA"/>
    <w:rsid w:val="001B00AB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37DFA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239D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2E8C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186A"/>
    <w:rsid w:val="004750B5"/>
    <w:rsid w:val="00490478"/>
    <w:rsid w:val="0049097B"/>
    <w:rsid w:val="00490F77"/>
    <w:rsid w:val="0049335A"/>
    <w:rsid w:val="00494CB3"/>
    <w:rsid w:val="00497541"/>
    <w:rsid w:val="00497876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26DB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53A1"/>
    <w:rsid w:val="005865E8"/>
    <w:rsid w:val="00590DB1"/>
    <w:rsid w:val="00592A2A"/>
    <w:rsid w:val="00595A4D"/>
    <w:rsid w:val="005B16E8"/>
    <w:rsid w:val="005C0250"/>
    <w:rsid w:val="005C1349"/>
    <w:rsid w:val="005E1ADB"/>
    <w:rsid w:val="005E6350"/>
    <w:rsid w:val="005F5CFD"/>
    <w:rsid w:val="005F6BFF"/>
    <w:rsid w:val="00605FD2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0EAE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536D6"/>
    <w:rsid w:val="007601AB"/>
    <w:rsid w:val="00761385"/>
    <w:rsid w:val="0076181A"/>
    <w:rsid w:val="00762267"/>
    <w:rsid w:val="00764E64"/>
    <w:rsid w:val="0076571A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86965"/>
    <w:rsid w:val="00890D8A"/>
    <w:rsid w:val="00895A1D"/>
    <w:rsid w:val="008964DC"/>
    <w:rsid w:val="008A0C38"/>
    <w:rsid w:val="008A7830"/>
    <w:rsid w:val="008B2A90"/>
    <w:rsid w:val="008B34F9"/>
    <w:rsid w:val="008B422C"/>
    <w:rsid w:val="008D1C4E"/>
    <w:rsid w:val="008D2E54"/>
    <w:rsid w:val="008E0F76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4A37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5E67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45DB"/>
    <w:rsid w:val="00A751DA"/>
    <w:rsid w:val="00A77248"/>
    <w:rsid w:val="00A86EE4"/>
    <w:rsid w:val="00A90CF4"/>
    <w:rsid w:val="00A950AC"/>
    <w:rsid w:val="00A959E3"/>
    <w:rsid w:val="00A96BEB"/>
    <w:rsid w:val="00A97C73"/>
    <w:rsid w:val="00AA225C"/>
    <w:rsid w:val="00AA2D2D"/>
    <w:rsid w:val="00AB2288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1A34"/>
    <w:rsid w:val="00BA6A57"/>
    <w:rsid w:val="00BB031F"/>
    <w:rsid w:val="00BB30B6"/>
    <w:rsid w:val="00BB6B6C"/>
    <w:rsid w:val="00BC2C19"/>
    <w:rsid w:val="00BD6452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378CA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76D46"/>
    <w:rsid w:val="00C86426"/>
    <w:rsid w:val="00C8687A"/>
    <w:rsid w:val="00C94B35"/>
    <w:rsid w:val="00C973A3"/>
    <w:rsid w:val="00CA5AE1"/>
    <w:rsid w:val="00CB182D"/>
    <w:rsid w:val="00CB649D"/>
    <w:rsid w:val="00CD4553"/>
    <w:rsid w:val="00CD554B"/>
    <w:rsid w:val="00CD6C0B"/>
    <w:rsid w:val="00CD7BDC"/>
    <w:rsid w:val="00CE5BDE"/>
    <w:rsid w:val="00CE6A51"/>
    <w:rsid w:val="00CE7F3C"/>
    <w:rsid w:val="00CF4CF9"/>
    <w:rsid w:val="00CF7E85"/>
    <w:rsid w:val="00D06788"/>
    <w:rsid w:val="00D13FC1"/>
    <w:rsid w:val="00D20B4E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B0798"/>
    <w:rsid w:val="00DB1B44"/>
    <w:rsid w:val="00DB2A7F"/>
    <w:rsid w:val="00DB2C21"/>
    <w:rsid w:val="00DB61D7"/>
    <w:rsid w:val="00DB6225"/>
    <w:rsid w:val="00DC281E"/>
    <w:rsid w:val="00DD229C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3F05"/>
    <w:rsid w:val="00E7359C"/>
    <w:rsid w:val="00E80BED"/>
    <w:rsid w:val="00E81FCC"/>
    <w:rsid w:val="00E83012"/>
    <w:rsid w:val="00E84FDB"/>
    <w:rsid w:val="00E86A3A"/>
    <w:rsid w:val="00E86DED"/>
    <w:rsid w:val="00E9162E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72F51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2260-6AB1-42D3-9796-3D2C4668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9</cp:revision>
  <cp:lastPrinted>2019-07-25T09:58:00Z</cp:lastPrinted>
  <dcterms:created xsi:type="dcterms:W3CDTF">2019-08-01T11:23:00Z</dcterms:created>
  <dcterms:modified xsi:type="dcterms:W3CDTF">2019-08-01T13:54:00Z</dcterms:modified>
</cp:coreProperties>
</file>