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2A0137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038EF2">
            <wp:simplePos x="0" y="0"/>
            <wp:positionH relativeFrom="page">
              <wp:posOffset>3953354</wp:posOffset>
            </wp:positionH>
            <wp:positionV relativeFrom="margin">
              <wp:posOffset>-431979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77777777" w:rsidR="001D12C4" w:rsidRDefault="001D12C4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B86E2B" w14:textId="77777777" w:rsidR="00C7193A" w:rsidRDefault="00C7193A" w:rsidP="002A0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CE05224" w:rsidR="00B23904" w:rsidRPr="00B23904" w:rsidRDefault="00B23904" w:rsidP="002A0137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>13 de 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D7BF6E2" w14:textId="77777777" w:rsidR="001B7A1C" w:rsidRPr="001E1B4C" w:rsidRDefault="001B7A1C" w:rsidP="002A013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7A6EC607" w:rsidR="00C57EF9" w:rsidRPr="00FB280E" w:rsidRDefault="003C76C9" w:rsidP="0091071A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Boing</w:t>
      </w:r>
      <w:r w:rsidR="004C0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C2C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presenta</w:t>
      </w:r>
      <w:r w:rsidR="00060D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al mercado</w:t>
      </w:r>
      <w:r w:rsidR="00BC2C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publicitario </w:t>
      </w:r>
      <w:r w:rsidR="00BC2C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módulo</w:t>
      </w:r>
      <w:r w:rsidR="009022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C2C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Extended </w:t>
      </w:r>
      <w:r w:rsidR="009022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TV </w:t>
      </w:r>
      <w:r w:rsidR="00BC2C1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360º</w:t>
      </w:r>
      <w:r w:rsidR="00E311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para TV y </w:t>
      </w:r>
      <w:proofErr w:type="gram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app</w:t>
      </w:r>
      <w:proofErr w:type="gram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311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</w:t>
      </w:r>
      <w:r w:rsidR="00D61E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C0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nuevas </w:t>
      </w:r>
      <w:r w:rsidR="00D61E3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opciones de integración</w:t>
      </w:r>
      <w:r w:rsidR="009022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comercial</w:t>
      </w:r>
      <w:r w:rsidR="004C0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2DDC3403" w14:textId="77777777" w:rsidR="00B23904" w:rsidRPr="001D12C4" w:rsidRDefault="00B23904" w:rsidP="0036444F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5146CD99" w:rsidR="00BB031F" w:rsidRDefault="003C76C9" w:rsidP="003644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canal infantil líder de la televisión comercial ha reunido a anunciantes y agencias de medios para</w:t>
      </w:r>
      <w:r w:rsidR="00060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presentar la</w:t>
      </w:r>
      <w:r w:rsidR="00494C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oferta comercial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integrada de sus soportes lineales y digitales </w:t>
      </w:r>
      <w:r w:rsidR="00494CB3">
        <w:rPr>
          <w:rFonts w:ascii="Arial" w:eastAsia="Times New Roman" w:hAnsi="Arial" w:cs="Arial"/>
          <w:b/>
          <w:sz w:val="24"/>
          <w:szCs w:val="24"/>
          <w:lang w:eastAsia="es-ES"/>
        </w:rPr>
        <w:t>para el cuarto trimestre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garantizando </w:t>
      </w:r>
      <w:r w:rsidR="00AF47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las marcas</w:t>
      </w:r>
      <w:r w:rsidR="009107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0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complementariedad para sus campañas en entornos de absoluta </w:t>
      </w:r>
      <w:r w:rsidR="00AF47C8">
        <w:rPr>
          <w:rFonts w:ascii="Arial" w:eastAsia="Times New Roman" w:hAnsi="Arial" w:cs="Arial"/>
          <w:b/>
          <w:sz w:val="24"/>
          <w:szCs w:val="24"/>
          <w:lang w:eastAsia="es-ES"/>
        </w:rPr>
        <w:t>seguridad</w:t>
      </w:r>
      <w:r w:rsidR="0010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AF47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confianza</w:t>
      </w:r>
      <w:r w:rsidR="00C0037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F47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3C40253" w14:textId="77777777" w:rsidR="00BB031F" w:rsidRPr="00C94B35" w:rsidRDefault="00BB031F" w:rsidP="0036444F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217C9BA" w14:textId="4AC4FE91" w:rsidR="003A21C1" w:rsidRDefault="000A71E3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F868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Mediaset España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 presentado 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al mercado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F868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oferta comercial de Boing para el cuarto trimestre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año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En </w:t>
      </w:r>
      <w:r w:rsidR="003A21C1" w:rsidRPr="00F868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tres eventos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celebrados en </w:t>
      </w:r>
      <w:r w:rsidR="003A21C1" w:rsidRPr="00F868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Valencia, Madrid y Barcelona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han reunido a los principales anunciantes y agencias de medios, </w:t>
      </w:r>
      <w:r w:rsidR="003A21C1" w:rsidRPr="00F8687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Publiespaña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ha anunciado 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sus grandes 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novedades para un periodo de 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elevado </w:t>
      </w:r>
      <w:r w:rsidR="003A21C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consumo televisivo y demanda comercial</w:t>
      </w:r>
      <w:r w:rsidR="00C016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entre las que se encuentran el módulo </w:t>
      </w:r>
      <w:r w:rsidR="00C016EB" w:rsidRPr="00F10FF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Extended TV 360º</w:t>
      </w:r>
      <w:r w:rsidR="00C016E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4165B8" w:rsidRPr="004165B8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nuevas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016EB" w:rsidRPr="00F10FF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opciones de prescripción e integración publicitaria</w:t>
      </w:r>
      <w:r w:rsidR="00BA156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DEAC1B0" w14:textId="02152F85" w:rsidR="00F86877" w:rsidRDefault="00F86877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E9BD6BF" w14:textId="34DC88EA" w:rsidR="00595A4D" w:rsidRDefault="004165B8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</w:t>
      </w:r>
      <w:r w:rsidR="00FC5BB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 </w:t>
      </w:r>
      <w:r w:rsidR="00FC5BB3" w:rsidRPr="0029759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canal infantil líder de las televisiones comerciales</w:t>
      </w:r>
      <w:r w:rsidR="00FC5BB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séptima temporada consecutiva</w:t>
      </w:r>
      <w:r w:rsidR="00BA156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C5BB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ofrece al sector el </w:t>
      </w:r>
      <w:r w:rsidR="00FC5BB3" w:rsidRPr="007F034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módulo exclusivo</w:t>
      </w:r>
      <w:r w:rsidR="00FC5BB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Extended TV 360º, que </w:t>
      </w:r>
      <w:r w:rsidR="00EC5D8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amplía </w:t>
      </w:r>
      <w:r w:rsidR="00FC5BB3" w:rsidRPr="001C180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la cobertura de las campañas</w:t>
      </w:r>
      <w:r w:rsidR="00E7359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través de</w:t>
      </w:r>
      <w:r w:rsidR="00EC5D8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F0B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="00BF0B84" w:rsidRPr="001C180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planificación </w:t>
      </w:r>
      <w:r w:rsidR="00437A20" w:rsidRPr="00437A20">
        <w:rPr>
          <w:rFonts w:ascii="Arial" w:eastAsia="Courier" w:hAnsi="Arial" w:cs="Arial"/>
          <w:b/>
          <w:i/>
          <w:kern w:val="2"/>
          <w:sz w:val="24"/>
          <w:szCs w:val="24"/>
          <w:lang w:eastAsia="hi-IN" w:bidi="hi-IN"/>
        </w:rPr>
        <w:t>ad hoc</w:t>
      </w:r>
      <w:r w:rsidR="00437A20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BF0B84" w:rsidRPr="001C180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 televisión</w:t>
      </w:r>
      <w:r w:rsidR="00BF0B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-</w:t>
      </w:r>
      <w:r w:rsidR="00EC5D8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consigue</w:t>
      </w:r>
      <w:r w:rsidR="00BF0B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las más amplias y rápidas coberturas- </w:t>
      </w:r>
      <w:r w:rsidR="00BF0B84" w:rsidRPr="001C180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y en la </w:t>
      </w:r>
      <w:r w:rsidR="00BF0B84" w:rsidRPr="001C180E">
        <w:rPr>
          <w:rFonts w:ascii="Arial" w:eastAsia="Courier" w:hAnsi="Arial" w:cs="Arial"/>
          <w:b/>
          <w:i/>
          <w:kern w:val="2"/>
          <w:sz w:val="24"/>
          <w:szCs w:val="24"/>
          <w:lang w:eastAsia="hi-IN" w:bidi="hi-IN"/>
        </w:rPr>
        <w:t>app</w:t>
      </w:r>
      <w:r w:rsidR="00BF0B84" w:rsidRPr="001C180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de Boing</w:t>
      </w:r>
      <w:r w:rsidR="00437A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optimizando el consumo complementario que </w:t>
      </w:r>
      <w:r w:rsidR="007F034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registran </w:t>
      </w:r>
      <w:r w:rsidR="00437A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ambos soportes.</w:t>
      </w:r>
      <w:bookmarkStart w:id="0" w:name="_GoBack"/>
      <w:bookmarkEnd w:id="0"/>
    </w:p>
    <w:p w14:paraId="132819B2" w14:textId="21055151" w:rsidR="008D1C4E" w:rsidRDefault="008D1C4E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0BE89EB" w14:textId="580FF3F0" w:rsidR="00014A5E" w:rsidRDefault="00014A5E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Nuevas opciones de integración y prescripción</w:t>
      </w:r>
    </w:p>
    <w:p w14:paraId="1FAB893B" w14:textId="13A1524A" w:rsidR="004B1346" w:rsidRDefault="00A733A1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Boing </w:t>
      </w:r>
      <w:r w:rsidR="009B64F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 ampliado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las posibilidades </w:t>
      </w:r>
      <w:r w:rsidR="004008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comerciales </w:t>
      </w:r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sus soportes </w:t>
      </w:r>
      <w:r w:rsidR="004008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</w:t>
      </w:r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formatos que facilitan la prescripción de los productos</w:t>
      </w:r>
      <w:r w:rsidR="00514D7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complementando </w:t>
      </w:r>
      <w:r w:rsidR="00D0678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su</w:t>
      </w:r>
      <w:r w:rsidR="00514D7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oferta de publicidad convencional</w:t>
      </w:r>
      <w:r w:rsidR="009B48F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057AC87" w14:textId="77777777" w:rsidR="004B1346" w:rsidRDefault="004B1346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E1D68CF" w14:textId="2EDE92F0" w:rsidR="004B1346" w:rsidRDefault="004B1346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AE1B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TV</w:t>
      </w:r>
      <w:r w:rsidR="006C15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lineal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</w:t>
      </w:r>
    </w:p>
    <w:p w14:paraId="4588BC3C" w14:textId="77777777" w:rsidR="004B1346" w:rsidRDefault="004B1346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FB2A738" w14:textId="16A0DEFE" w:rsidR="004B1346" w:rsidRDefault="004008BB" w:rsidP="0036444F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4008B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Estreno de </w:t>
      </w:r>
      <w:proofErr w:type="spellStart"/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</w:t>
      </w:r>
      <w:r w:rsidR="004B1346" w:rsidRPr="004B134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elepromociones</w:t>
      </w:r>
      <w:proofErr w:type="spellEnd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B1346" w:rsidRPr="004B134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con nuevos personajes virtuales</w:t>
      </w:r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refuerzan la prescripción y la notoriedad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marca.</w:t>
      </w:r>
    </w:p>
    <w:p w14:paraId="3C6506FE" w14:textId="0AD3637B" w:rsidR="004B1346" w:rsidRDefault="004B1346" w:rsidP="0036444F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4B134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Ideas Boing</w:t>
      </w:r>
      <w:r w:rsidR="007422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novedosas piezas </w:t>
      </w:r>
      <w:r w:rsidR="009B48F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patrocinadas en las que los 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personajes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principales 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del canal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ofrecen 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consejos sobre hábitos de vida saludable</w:t>
      </w:r>
      <w:r w:rsidR="007422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44E7FD4" w14:textId="1A0E6C54" w:rsidR="004B1346" w:rsidRDefault="004B1346" w:rsidP="0036444F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4B1346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Módulo Niñas</w:t>
      </w:r>
      <w:r w:rsidR="0074223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954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renovación de este 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módulo de planificación que optimiza la campaña en términos de cobertura al </w:t>
      </w:r>
      <w:proofErr w:type="gramStart"/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target</w:t>
      </w:r>
      <w:proofErr w:type="gramEnd"/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4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</w:t>
      </w:r>
      <w:r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9 años femenino.</w:t>
      </w:r>
    </w:p>
    <w:p w14:paraId="106D3782" w14:textId="079DD2E7" w:rsidR="00E617B1" w:rsidRDefault="00742233" w:rsidP="00364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74223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Iniciativas Especiales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se mantienen productos </w:t>
      </w:r>
      <w:r w:rsidR="006C15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éxito </w:t>
      </w:r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como ‘Hoy es tu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día’, ‘Boing Palomitas’, ‘Boing Estreno’ y ‘Boing </w:t>
      </w:r>
      <w:proofErr w:type="spellStart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Name</w:t>
      </w:r>
      <w:proofErr w:type="spellEnd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61B97A5" w14:textId="77777777" w:rsidR="00742233" w:rsidRDefault="00742233" w:rsidP="0036444F">
      <w:pPr>
        <w:spacing w:after="0" w:line="240" w:lineRule="auto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DC99C33" w14:textId="2BB7C18D" w:rsidR="00742233" w:rsidRDefault="00742233" w:rsidP="0036444F">
      <w:pPr>
        <w:spacing w:after="0" w:line="240" w:lineRule="auto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r w:rsidR="006C15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soporte</w:t>
      </w:r>
      <w:r w:rsidR="00AE1B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6C157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digital</w:t>
      </w:r>
      <w:r w:rsidR="00AE1B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</w:t>
      </w:r>
    </w:p>
    <w:p w14:paraId="6A8DB2FF" w14:textId="77777777" w:rsidR="00742233" w:rsidRPr="00742233" w:rsidRDefault="00742233" w:rsidP="0036444F">
      <w:pPr>
        <w:spacing w:after="0" w:line="240" w:lineRule="auto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0BC948F" w14:textId="39D0E76A" w:rsidR="00E617B1" w:rsidRDefault="00742233" w:rsidP="0036444F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74223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‘</w:t>
      </w:r>
      <w:proofErr w:type="spellStart"/>
      <w:r w:rsidRPr="0074223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Unboxing</w:t>
      </w:r>
      <w:proofErr w:type="spellEnd"/>
      <w:r w:rsidRPr="0074223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formato </w:t>
      </w:r>
      <w:r w:rsidR="004165B8"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disponible en </w:t>
      </w:r>
      <w:r w:rsidR="004165B8" w:rsidRPr="009B48F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Boing.es, Telecinco.es y Divinity.es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ofrece </w:t>
      </w:r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cobertura total en el </w:t>
      </w:r>
      <w:proofErr w:type="gramStart"/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target</w:t>
      </w:r>
      <w:proofErr w:type="gramEnd"/>
      <w:r w:rsidRPr="00A733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infantil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En él, las marcas se convierten en protagonistas de vídeos </w:t>
      </w:r>
      <w:r w:rsidR="0029097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los que niños llevan a cabo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primera manipulación de algunos de sus producto</w:t>
      </w:r>
      <w:r w:rsidR="004A1F2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s. </w:t>
      </w:r>
    </w:p>
    <w:p w14:paraId="7882E23C" w14:textId="77777777" w:rsidR="007748CA" w:rsidRDefault="009B48F1" w:rsidP="0036444F">
      <w:pPr>
        <w:pStyle w:val="Prrafodelista"/>
        <w:numPr>
          <w:ilvl w:val="0"/>
          <w:numId w:val="3"/>
        </w:numPr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Concursos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vinculados a las marcas con presencia editorial en la web y en la </w:t>
      </w:r>
      <w:proofErr w:type="gramStart"/>
      <w:r w:rsidRPr="009B48F1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proofErr w:type="gramEnd"/>
      <w:r w:rsidR="00F954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difusión en redes sociales.</w:t>
      </w:r>
    </w:p>
    <w:p w14:paraId="2D800F49" w14:textId="6226FAEE" w:rsidR="00A950AC" w:rsidRDefault="007748CA" w:rsidP="0036444F">
      <w:pPr>
        <w:pStyle w:val="Prrafodelista"/>
        <w:numPr>
          <w:ilvl w:val="0"/>
          <w:numId w:val="3"/>
        </w:num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proofErr w:type="spellStart"/>
      <w:r w:rsidRPr="007748C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Advergame</w:t>
      </w:r>
      <w:proofErr w:type="spellEnd"/>
      <w:r w:rsidRPr="007748C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formato 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exclusivo </w:t>
      </w:r>
      <w:r w:rsidR="00A950A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para la </w:t>
      </w:r>
      <w:proofErr w:type="gramStart"/>
      <w:r w:rsidR="00A950AC" w:rsidRPr="00A950AC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proofErr w:type="gramEnd"/>
      <w:r w:rsidR="00A950A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garantiza la máxima integración de contenido y marca a través de juegos.</w:t>
      </w:r>
    </w:p>
    <w:p w14:paraId="2170911E" w14:textId="2ED3C626" w:rsidR="00765723" w:rsidRPr="00765723" w:rsidRDefault="00514D7D" w:rsidP="0036444F">
      <w:pPr>
        <w:pStyle w:val="Prrafodelista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D7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</w:t>
      </w:r>
      <w:r w:rsidR="004B1346" w:rsidRPr="00514D7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atrocinio</w:t>
      </w:r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del </w:t>
      </w:r>
      <w:proofErr w:type="spellStart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site</w:t>
      </w:r>
      <w:proofErr w:type="spellEnd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Boing.es y de la emisión de la señal en directo del canal 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en </w:t>
      </w:r>
      <w:proofErr w:type="spellStart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Mitele</w:t>
      </w:r>
      <w:proofErr w:type="spellEnd"/>
      <w:r w:rsidR="004B1346" w:rsidRPr="004B134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A7A4D52" w14:textId="77777777" w:rsidR="00765723" w:rsidRDefault="00765723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B01AE" w14:textId="3DAD3B43" w:rsidR="00765723" w:rsidRDefault="00765723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</w:rPr>
        <w:t xml:space="preserve">Como es habitual,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oferta de Publiespaña llega bajo el tradicional </w:t>
      </w:r>
      <w:r w:rsidRPr="0076572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sistema de Venta Anticipada a Niños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con la garantía de adjudicación del espacio publicitario en un periodo</w:t>
      </w:r>
      <w:r w:rsidR="00AE1B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octubre</w:t>
      </w:r>
      <w:r w:rsidR="00AE1B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diciembre</w:t>
      </w:r>
      <w:r w:rsidR="00AE1B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alta demanda publicitaria.</w:t>
      </w:r>
    </w:p>
    <w:p w14:paraId="31DB5860" w14:textId="77777777" w:rsidR="00BA1566" w:rsidRDefault="00BA1566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6DA2E7F" w14:textId="47B1313F" w:rsidR="00BA1566" w:rsidRDefault="00C52C5D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N</w:t>
      </w:r>
      <w:r w:rsidR="00BA1566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ueva </w:t>
      </w:r>
      <w:proofErr w:type="gramStart"/>
      <w:r w:rsidR="00BA1566" w:rsidRPr="00595A4D">
        <w:rPr>
          <w:rFonts w:ascii="Arial" w:eastAsia="Courier" w:hAnsi="Arial" w:cs="Arial"/>
          <w:b/>
          <w:bCs/>
          <w:i/>
          <w:color w:val="002C5F"/>
          <w:kern w:val="2"/>
          <w:sz w:val="28"/>
          <w:szCs w:val="28"/>
          <w:lang w:eastAsia="hi-IN" w:bidi="hi-IN"/>
        </w:rPr>
        <w:t>app</w:t>
      </w:r>
      <w:proofErr w:type="gramEnd"/>
    </w:p>
    <w:p w14:paraId="3B368CE3" w14:textId="6A6AEB53" w:rsidR="00BA1566" w:rsidRDefault="00BA1566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Estrenada a finales del pasado año, la </w:t>
      </w:r>
      <w:proofErr w:type="gramStart"/>
      <w:r w:rsidRPr="00F51B7D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app</w:t>
      </w:r>
      <w:proofErr w:type="gram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Boing acumula casi </w:t>
      </w:r>
      <w:r w:rsidRPr="008D1C4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800.000 descargas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un promedio mensual de </w:t>
      </w:r>
      <w:r w:rsidRPr="008D1C4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 millones de inicios de vídeo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8D1C4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250.000 usuarios únicos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Todos ellos disfrutan de la señal en directo del canal, de su oferta de ficción a la carta, vídeos cortos y una sección de ‘minijuegos’. Desde el punto de vista comercial, permite personalizar el diseño y sus secciones, insertar un spot único antes de la visualización de cada capítulo y contenidos editoriales nativos</w:t>
      </w:r>
      <w:r w:rsidR="004165B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entre otras opciones.</w:t>
      </w:r>
      <w:r w:rsidR="00F4373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4A86D662" w14:textId="7AB3B5AF" w:rsidR="00BA1566" w:rsidRDefault="00BA1566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F1E0A" w14:textId="5A58A1D9" w:rsidR="006C1578" w:rsidRDefault="00426DBA" w:rsidP="003644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Boing</w:t>
      </w:r>
      <w:r w:rsidR="00D4729D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>:</w:t>
      </w:r>
      <w:r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 s</w:t>
      </w:r>
      <w:r w:rsidR="006C1578">
        <w:rPr>
          <w:rFonts w:ascii="Arial" w:eastAsia="Courier" w:hAnsi="Arial" w:cs="Arial"/>
          <w:b/>
          <w:bCs/>
          <w:color w:val="002C5F"/>
          <w:kern w:val="2"/>
          <w:sz w:val="28"/>
          <w:szCs w:val="28"/>
          <w:lang w:eastAsia="hi-IN" w:bidi="hi-IN"/>
        </w:rPr>
        <w:t xml:space="preserve">eguridad, confianza y complementariedad </w:t>
      </w:r>
    </w:p>
    <w:p w14:paraId="356E9B08" w14:textId="244A4299" w:rsidR="00411895" w:rsidRDefault="004A5F50" w:rsidP="00104D4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Esta </w:t>
      </w:r>
      <w:r w:rsidR="0041189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oferta comercial</w:t>
      </w:r>
      <w:r w:rsidR="00104D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1189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 caracteriza además de por su elevado alcance y cobertura, por la</w:t>
      </w:r>
      <w:r w:rsidR="00104D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04D4E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</w:t>
      </w:r>
      <w:r w:rsidR="00411895" w:rsidRPr="00411895">
        <w:rPr>
          <w:rFonts w:ascii="Arial" w:hAnsi="Arial" w:cs="Arial"/>
          <w:b/>
          <w:sz w:val="24"/>
          <w:szCs w:val="24"/>
        </w:rPr>
        <w:t>eguridad</w:t>
      </w:r>
      <w:r w:rsidR="00104D4E">
        <w:rPr>
          <w:rFonts w:ascii="Arial" w:hAnsi="Arial" w:cs="Arial"/>
          <w:b/>
          <w:sz w:val="24"/>
          <w:szCs w:val="24"/>
        </w:rPr>
        <w:t>, la confianza y la complementariedad</w:t>
      </w:r>
      <w:r w:rsidR="00411895">
        <w:rPr>
          <w:rFonts w:ascii="Arial" w:hAnsi="Arial" w:cs="Arial"/>
          <w:sz w:val="24"/>
          <w:szCs w:val="24"/>
        </w:rPr>
        <w:t xml:space="preserve">: tanto </w:t>
      </w:r>
      <w:r>
        <w:rPr>
          <w:rFonts w:ascii="Arial" w:hAnsi="Arial" w:cs="Arial"/>
          <w:sz w:val="24"/>
          <w:szCs w:val="24"/>
        </w:rPr>
        <w:t xml:space="preserve">la web como la </w:t>
      </w:r>
      <w:proofErr w:type="gramStart"/>
      <w:r w:rsidRPr="004A5F50">
        <w:rPr>
          <w:rFonts w:ascii="Arial" w:hAnsi="Arial" w:cs="Arial"/>
          <w:i/>
          <w:sz w:val="24"/>
          <w:szCs w:val="24"/>
        </w:rPr>
        <w:t>app</w:t>
      </w:r>
      <w:proofErr w:type="gramEnd"/>
      <w:r>
        <w:rPr>
          <w:rFonts w:ascii="Arial" w:hAnsi="Arial" w:cs="Arial"/>
          <w:sz w:val="24"/>
          <w:szCs w:val="24"/>
        </w:rPr>
        <w:t xml:space="preserve"> ofrecen un entorno seguro tanto para los niños como para los anunciantes</w:t>
      </w:r>
      <w:r w:rsidR="00426DBA">
        <w:rPr>
          <w:rFonts w:ascii="Arial" w:hAnsi="Arial" w:cs="Arial"/>
          <w:sz w:val="24"/>
          <w:szCs w:val="24"/>
        </w:rPr>
        <w:t xml:space="preserve">. Además de difundir </w:t>
      </w:r>
      <w:r>
        <w:rPr>
          <w:rFonts w:ascii="Arial" w:hAnsi="Arial" w:cs="Arial"/>
          <w:sz w:val="24"/>
          <w:szCs w:val="24"/>
        </w:rPr>
        <w:t>el mismo contenido que la televisió</w:t>
      </w:r>
      <w:r w:rsidR="00426DBA">
        <w:rPr>
          <w:rFonts w:ascii="Arial" w:hAnsi="Arial" w:cs="Arial"/>
          <w:sz w:val="24"/>
          <w:szCs w:val="24"/>
        </w:rPr>
        <w:t>n, desde</w:t>
      </w:r>
      <w:r>
        <w:rPr>
          <w:rFonts w:ascii="Arial" w:hAnsi="Arial" w:cs="Arial"/>
          <w:sz w:val="24"/>
          <w:szCs w:val="24"/>
        </w:rPr>
        <w:t xml:space="preserve"> el punto de vista comercial la publicidad es integrada de una manera respetuosa</w:t>
      </w:r>
      <w:r w:rsidR="00104D4E">
        <w:rPr>
          <w:rFonts w:ascii="Arial" w:hAnsi="Arial" w:cs="Arial"/>
          <w:sz w:val="24"/>
          <w:szCs w:val="24"/>
        </w:rPr>
        <w:t xml:space="preserve">, con una alta cobertura y una </w:t>
      </w:r>
      <w:r w:rsidR="00426DBA">
        <w:rPr>
          <w:rFonts w:ascii="Arial" w:hAnsi="Arial" w:cs="Arial"/>
          <w:sz w:val="24"/>
          <w:szCs w:val="24"/>
        </w:rPr>
        <w:t>medición fiable, segura, transparente y auditada.</w:t>
      </w:r>
    </w:p>
    <w:p w14:paraId="0783DF8A" w14:textId="77777777" w:rsidR="00104D4E" w:rsidRPr="00411895" w:rsidRDefault="00104D4E" w:rsidP="00104D4E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04D4E" w:rsidRPr="00411895" w:rsidSect="004D1ED8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" name="Imagen 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138C6"/>
    <w:rsid w:val="00014A5E"/>
    <w:rsid w:val="00045BD2"/>
    <w:rsid w:val="00060DA9"/>
    <w:rsid w:val="00071615"/>
    <w:rsid w:val="000A21D7"/>
    <w:rsid w:val="000A71E3"/>
    <w:rsid w:val="000B5048"/>
    <w:rsid w:val="000F0298"/>
    <w:rsid w:val="000F5B74"/>
    <w:rsid w:val="00104D4E"/>
    <w:rsid w:val="001135BB"/>
    <w:rsid w:val="0012366D"/>
    <w:rsid w:val="001267EC"/>
    <w:rsid w:val="001352F2"/>
    <w:rsid w:val="00136682"/>
    <w:rsid w:val="00190DE4"/>
    <w:rsid w:val="001946B9"/>
    <w:rsid w:val="001A5D75"/>
    <w:rsid w:val="001A5DDA"/>
    <w:rsid w:val="001B4812"/>
    <w:rsid w:val="001B7A1C"/>
    <w:rsid w:val="001C180E"/>
    <w:rsid w:val="001D12C4"/>
    <w:rsid w:val="001E1B4C"/>
    <w:rsid w:val="001F3F61"/>
    <w:rsid w:val="00205948"/>
    <w:rsid w:val="00215A9E"/>
    <w:rsid w:val="00222508"/>
    <w:rsid w:val="00235E64"/>
    <w:rsid w:val="0029097B"/>
    <w:rsid w:val="0029395D"/>
    <w:rsid w:val="00297599"/>
    <w:rsid w:val="002A0137"/>
    <w:rsid w:val="002F1BE3"/>
    <w:rsid w:val="002F4990"/>
    <w:rsid w:val="0033693F"/>
    <w:rsid w:val="00353B4A"/>
    <w:rsid w:val="0036444F"/>
    <w:rsid w:val="00381E1E"/>
    <w:rsid w:val="003A21C1"/>
    <w:rsid w:val="003A67AA"/>
    <w:rsid w:val="003B243E"/>
    <w:rsid w:val="003C348F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60E80"/>
    <w:rsid w:val="00490F77"/>
    <w:rsid w:val="00494CB3"/>
    <w:rsid w:val="004A1F29"/>
    <w:rsid w:val="004A5F50"/>
    <w:rsid w:val="004B1346"/>
    <w:rsid w:val="004C0207"/>
    <w:rsid w:val="004D1ED8"/>
    <w:rsid w:val="004D6C0D"/>
    <w:rsid w:val="004D737B"/>
    <w:rsid w:val="004F66A2"/>
    <w:rsid w:val="00511A0F"/>
    <w:rsid w:val="00514D7D"/>
    <w:rsid w:val="00532481"/>
    <w:rsid w:val="00563C23"/>
    <w:rsid w:val="00575B71"/>
    <w:rsid w:val="00590DB1"/>
    <w:rsid w:val="00595A4D"/>
    <w:rsid w:val="005B16E8"/>
    <w:rsid w:val="005E1ADB"/>
    <w:rsid w:val="005E6350"/>
    <w:rsid w:val="005F5CFD"/>
    <w:rsid w:val="005F6BFF"/>
    <w:rsid w:val="00605FD2"/>
    <w:rsid w:val="006317A0"/>
    <w:rsid w:val="006504E0"/>
    <w:rsid w:val="006C124C"/>
    <w:rsid w:val="006C1578"/>
    <w:rsid w:val="006D44E6"/>
    <w:rsid w:val="007001F1"/>
    <w:rsid w:val="007020D2"/>
    <w:rsid w:val="007257F2"/>
    <w:rsid w:val="00742233"/>
    <w:rsid w:val="0074389E"/>
    <w:rsid w:val="007504E7"/>
    <w:rsid w:val="00752F99"/>
    <w:rsid w:val="007601AB"/>
    <w:rsid w:val="00761385"/>
    <w:rsid w:val="00765723"/>
    <w:rsid w:val="007748CA"/>
    <w:rsid w:val="007764A4"/>
    <w:rsid w:val="007852BB"/>
    <w:rsid w:val="007C6AF1"/>
    <w:rsid w:val="007D77F0"/>
    <w:rsid w:val="007E0FDC"/>
    <w:rsid w:val="007F034F"/>
    <w:rsid w:val="0080589F"/>
    <w:rsid w:val="00833373"/>
    <w:rsid w:val="0083667C"/>
    <w:rsid w:val="0087051C"/>
    <w:rsid w:val="008772FA"/>
    <w:rsid w:val="0087748F"/>
    <w:rsid w:val="00880253"/>
    <w:rsid w:val="008D1C4E"/>
    <w:rsid w:val="008E464F"/>
    <w:rsid w:val="00900522"/>
    <w:rsid w:val="00901154"/>
    <w:rsid w:val="00902230"/>
    <w:rsid w:val="00903B5C"/>
    <w:rsid w:val="00905BF0"/>
    <w:rsid w:val="0091071A"/>
    <w:rsid w:val="0091105E"/>
    <w:rsid w:val="00913E64"/>
    <w:rsid w:val="0092559C"/>
    <w:rsid w:val="009368F7"/>
    <w:rsid w:val="009816A1"/>
    <w:rsid w:val="0098226E"/>
    <w:rsid w:val="009B48F1"/>
    <w:rsid w:val="009B64FF"/>
    <w:rsid w:val="009C412A"/>
    <w:rsid w:val="00A076F4"/>
    <w:rsid w:val="00A1745D"/>
    <w:rsid w:val="00A17D2A"/>
    <w:rsid w:val="00A25C61"/>
    <w:rsid w:val="00A355F4"/>
    <w:rsid w:val="00A733A1"/>
    <w:rsid w:val="00A751DA"/>
    <w:rsid w:val="00A86EE4"/>
    <w:rsid w:val="00A950AC"/>
    <w:rsid w:val="00A959E3"/>
    <w:rsid w:val="00A97C73"/>
    <w:rsid w:val="00AA2D2D"/>
    <w:rsid w:val="00AB2288"/>
    <w:rsid w:val="00AC676C"/>
    <w:rsid w:val="00AE009F"/>
    <w:rsid w:val="00AE1BB8"/>
    <w:rsid w:val="00AF47C8"/>
    <w:rsid w:val="00B108BD"/>
    <w:rsid w:val="00B23904"/>
    <w:rsid w:val="00B2476B"/>
    <w:rsid w:val="00B565CD"/>
    <w:rsid w:val="00B9484F"/>
    <w:rsid w:val="00BA1566"/>
    <w:rsid w:val="00BA6A57"/>
    <w:rsid w:val="00BB031F"/>
    <w:rsid w:val="00BB6B6C"/>
    <w:rsid w:val="00BC2C19"/>
    <w:rsid w:val="00BE1BE1"/>
    <w:rsid w:val="00BF0B84"/>
    <w:rsid w:val="00C00376"/>
    <w:rsid w:val="00C016EB"/>
    <w:rsid w:val="00C1111E"/>
    <w:rsid w:val="00C128F4"/>
    <w:rsid w:val="00C22BCD"/>
    <w:rsid w:val="00C41594"/>
    <w:rsid w:val="00C464B9"/>
    <w:rsid w:val="00C52C5D"/>
    <w:rsid w:val="00C55253"/>
    <w:rsid w:val="00C57EF9"/>
    <w:rsid w:val="00C7193A"/>
    <w:rsid w:val="00C86426"/>
    <w:rsid w:val="00C94B35"/>
    <w:rsid w:val="00C973A3"/>
    <w:rsid w:val="00CB649D"/>
    <w:rsid w:val="00CD4553"/>
    <w:rsid w:val="00CD6C0B"/>
    <w:rsid w:val="00CD7BDC"/>
    <w:rsid w:val="00CE5BDE"/>
    <w:rsid w:val="00CF4CF9"/>
    <w:rsid w:val="00D06788"/>
    <w:rsid w:val="00D13FC1"/>
    <w:rsid w:val="00D455D9"/>
    <w:rsid w:val="00D4729D"/>
    <w:rsid w:val="00D61E3D"/>
    <w:rsid w:val="00D74F69"/>
    <w:rsid w:val="00DB1B44"/>
    <w:rsid w:val="00DB2C21"/>
    <w:rsid w:val="00DC281E"/>
    <w:rsid w:val="00DF447B"/>
    <w:rsid w:val="00E0122B"/>
    <w:rsid w:val="00E20487"/>
    <w:rsid w:val="00E209BE"/>
    <w:rsid w:val="00E31157"/>
    <w:rsid w:val="00E40150"/>
    <w:rsid w:val="00E617B1"/>
    <w:rsid w:val="00E6352E"/>
    <w:rsid w:val="00E7359C"/>
    <w:rsid w:val="00E80BED"/>
    <w:rsid w:val="00E81FCC"/>
    <w:rsid w:val="00E84FDB"/>
    <w:rsid w:val="00E97C07"/>
    <w:rsid w:val="00EA7139"/>
    <w:rsid w:val="00EB30F6"/>
    <w:rsid w:val="00EC409E"/>
    <w:rsid w:val="00EC5D80"/>
    <w:rsid w:val="00F10FF2"/>
    <w:rsid w:val="00F20342"/>
    <w:rsid w:val="00F21182"/>
    <w:rsid w:val="00F3145C"/>
    <w:rsid w:val="00F33C07"/>
    <w:rsid w:val="00F43738"/>
    <w:rsid w:val="00F45B2D"/>
    <w:rsid w:val="00F51B7D"/>
    <w:rsid w:val="00F71F0A"/>
    <w:rsid w:val="00F86877"/>
    <w:rsid w:val="00F954F2"/>
    <w:rsid w:val="00FB280E"/>
    <w:rsid w:val="00FB5140"/>
    <w:rsid w:val="00FC3A96"/>
    <w:rsid w:val="00FC5BB3"/>
    <w:rsid w:val="00FC75C0"/>
    <w:rsid w:val="00FD1F12"/>
    <w:rsid w:val="00FD65E5"/>
    <w:rsid w:val="00FE408A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9559-815B-482B-A353-99ECFC10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105</cp:revision>
  <cp:lastPrinted>2019-06-13T09:18:00Z</cp:lastPrinted>
  <dcterms:created xsi:type="dcterms:W3CDTF">2019-06-12T15:03:00Z</dcterms:created>
  <dcterms:modified xsi:type="dcterms:W3CDTF">2019-06-13T10:55:00Z</dcterms:modified>
</cp:coreProperties>
</file>